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44"/>
          <w:szCs w:val="44"/>
          <w:lang w:eastAsia="zh-CN"/>
        </w:rPr>
      </w:pPr>
      <w:r>
        <w:rPr>
          <w:rFonts w:hint="eastAsia" w:ascii="黑体" w:hAnsi="黑体" w:eastAsia="黑体" w:cs="黑体"/>
          <w:sz w:val="44"/>
          <w:szCs w:val="44"/>
          <w:lang w:eastAsia="zh-CN"/>
        </w:rPr>
        <w:t>附件</w:t>
      </w:r>
    </w:p>
    <w:p>
      <w:pPr>
        <w:pStyle w:val="2"/>
        <w:rPr>
          <w:rFonts w:hint="eastAsia"/>
          <w:lang w:eastAsia="zh-CN"/>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佛</w:t>
      </w:r>
      <w:bookmarkStart w:id="1" w:name="_GoBack"/>
      <w:bookmarkEnd w:id="1"/>
      <w:r>
        <w:rPr>
          <w:rFonts w:hint="eastAsia" w:ascii="方正小标宋简体" w:eastAsia="方正小标宋简体"/>
          <w:sz w:val="44"/>
          <w:szCs w:val="44"/>
        </w:rPr>
        <w:t>山市</w:t>
      </w:r>
      <w:r>
        <w:rPr>
          <w:rFonts w:hint="eastAsia" w:ascii="方正小标宋简体" w:eastAsia="方正小标宋简体"/>
          <w:sz w:val="44"/>
          <w:szCs w:val="44"/>
          <w:lang w:eastAsia="zh-CN"/>
        </w:rPr>
        <w:t>进一步促进</w:t>
      </w:r>
      <w:r>
        <w:rPr>
          <w:rFonts w:hint="eastAsia" w:ascii="方正小标宋简体" w:eastAsia="方正小标宋简体"/>
          <w:sz w:val="44"/>
          <w:szCs w:val="44"/>
        </w:rPr>
        <w:t>个体工商户转型升级</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专项资金使用管理办法</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（征求意见稿）</w:t>
      </w:r>
    </w:p>
    <w:p>
      <w:pPr>
        <w:spacing w:line="560" w:lineRule="exact"/>
        <w:rPr>
          <w:rFonts w:hint="eastAsia"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hint="eastAsia" w:ascii="仿宋_GB2312" w:eastAsia="仿宋_GB2312"/>
          <w:sz w:val="32"/>
          <w:szCs w:val="32"/>
        </w:rPr>
      </w:pPr>
      <w:r>
        <w:rPr>
          <w:rFonts w:hint="eastAsia" w:ascii="黑体" w:eastAsia="黑体"/>
          <w:sz w:val="32"/>
          <w:szCs w:val="32"/>
        </w:rPr>
        <w:t>第一条</w:t>
      </w:r>
      <w:r>
        <w:rPr>
          <w:rFonts w:hint="eastAsia" w:ascii="仿宋_GB2312" w:eastAsia="仿宋_GB2312"/>
          <w:sz w:val="32"/>
          <w:szCs w:val="32"/>
        </w:rPr>
        <w:t xml:space="preserve">  根据《佛山市进一步促进个体工商户转型升级工作领导小组办公室关于印发佛山市进一步支持个体工商户转型升级为企业的行动方案的通知》（佛促个转企办〔2018〕1号）要求，为</w:t>
      </w:r>
      <w:r>
        <w:rPr>
          <w:rFonts w:hint="eastAsia" w:ascii="仿宋_GB2312" w:eastAsia="仿宋_GB2312"/>
          <w:sz w:val="32"/>
          <w:szCs w:val="32"/>
          <w:lang w:eastAsia="zh-CN"/>
        </w:rPr>
        <w:t>进一步</w:t>
      </w:r>
      <w:r>
        <w:rPr>
          <w:rFonts w:hint="eastAsia" w:ascii="仿宋_GB2312" w:eastAsia="仿宋_GB2312"/>
          <w:sz w:val="32"/>
          <w:szCs w:val="32"/>
        </w:rPr>
        <w:t>支持、鼓励和引导个体工商户实现转型升级，提高市场竞争力，增强发展后劲，不断做大做强，提升我市经济社会发展水平，制定本办法。</w:t>
      </w:r>
    </w:p>
    <w:p>
      <w:pPr>
        <w:spacing w:line="560" w:lineRule="exact"/>
        <w:ind w:firstLine="640" w:firstLineChars="200"/>
        <w:rPr>
          <w:rFonts w:hint="eastAsia" w:ascii="仿宋_GB2312" w:eastAsia="仿宋_GB2312"/>
          <w:sz w:val="32"/>
          <w:szCs w:val="32"/>
        </w:rPr>
      </w:pPr>
      <w:r>
        <w:rPr>
          <w:rFonts w:hint="eastAsia" w:ascii="黑体" w:eastAsia="黑体"/>
          <w:sz w:val="32"/>
          <w:szCs w:val="32"/>
        </w:rPr>
        <w:t xml:space="preserve">第二条  </w:t>
      </w:r>
      <w:r>
        <w:rPr>
          <w:rFonts w:hint="eastAsia" w:ascii="仿宋_GB2312" w:eastAsia="仿宋_GB2312"/>
          <w:sz w:val="32"/>
          <w:szCs w:val="32"/>
        </w:rPr>
        <w:t>奖励范围。</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（一）已列入</w:t>
      </w:r>
      <w:r>
        <w:rPr>
          <w:rFonts w:hint="eastAsia" w:ascii="仿宋_GB2312" w:hAnsi="宋体" w:eastAsia="仿宋_GB2312"/>
          <w:sz w:val="32"/>
          <w:szCs w:val="32"/>
          <w:lang w:eastAsia="zh-CN"/>
        </w:rPr>
        <w:t>全市个体工商户转型升级培育名录库内的个体工商户。</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（二）经税务部门核定为一般纳税人的个体工商户。</w:t>
      </w:r>
    </w:p>
    <w:p>
      <w:pPr>
        <w:spacing w:line="560" w:lineRule="exact"/>
        <w:ind w:firstLine="640" w:firstLineChars="200"/>
        <w:rPr>
          <w:rFonts w:hint="eastAsia" w:ascii="仿宋_GB2312" w:eastAsia="仿宋_GB2312"/>
          <w:sz w:val="32"/>
          <w:szCs w:val="32"/>
        </w:rPr>
      </w:pPr>
      <w:r>
        <w:rPr>
          <w:rFonts w:hint="eastAsia" w:ascii="黑体" w:eastAsia="黑体"/>
          <w:sz w:val="32"/>
          <w:szCs w:val="32"/>
        </w:rPr>
        <w:t xml:space="preserve">第三条  </w:t>
      </w:r>
      <w:r>
        <w:rPr>
          <w:rFonts w:hint="eastAsia" w:ascii="仿宋_GB2312" w:eastAsia="仿宋_GB2312"/>
          <w:sz w:val="32"/>
          <w:szCs w:val="32"/>
        </w:rPr>
        <w:t>奖励措施。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对符合条件的个体工商户转型升级为个人独资企业</w:t>
      </w:r>
      <w:r>
        <w:rPr>
          <w:rFonts w:hint="eastAsia" w:ascii="仿宋_GB2312" w:eastAsia="仿宋_GB2312"/>
          <w:sz w:val="32"/>
          <w:szCs w:val="32"/>
          <w:lang w:eastAsia="zh-CN"/>
        </w:rPr>
        <w:t>、</w:t>
      </w:r>
      <w:r>
        <w:rPr>
          <w:rFonts w:hint="eastAsia" w:ascii="仿宋_GB2312" w:eastAsia="仿宋_GB2312"/>
          <w:sz w:val="32"/>
          <w:szCs w:val="32"/>
        </w:rPr>
        <w:t>合伙企业</w:t>
      </w:r>
      <w:r>
        <w:rPr>
          <w:rFonts w:hint="eastAsia" w:ascii="仿宋_GB2312" w:eastAsia="仿宋_GB2312"/>
          <w:sz w:val="32"/>
          <w:szCs w:val="32"/>
          <w:lang w:eastAsia="zh-CN"/>
        </w:rPr>
        <w:t>或有限责任公司的</w:t>
      </w:r>
      <w:r>
        <w:rPr>
          <w:rFonts w:hint="eastAsia" w:ascii="仿宋_GB2312" w:eastAsia="仿宋_GB2312"/>
          <w:sz w:val="32"/>
          <w:szCs w:val="32"/>
        </w:rPr>
        <w:t>，每户一次性奖励</w:t>
      </w:r>
      <w:r>
        <w:rPr>
          <w:rFonts w:hint="eastAsia" w:ascii="仿宋_GB2312" w:eastAsia="仿宋_GB2312"/>
          <w:sz w:val="32"/>
          <w:szCs w:val="32"/>
          <w:lang w:val="en-US" w:eastAsia="zh-CN"/>
        </w:rPr>
        <w:t>6</w:t>
      </w:r>
      <w:r>
        <w:rPr>
          <w:rFonts w:hint="eastAsia" w:ascii="仿宋_GB2312" w:eastAsia="仿宋_GB2312"/>
          <w:sz w:val="32"/>
          <w:szCs w:val="32"/>
        </w:rPr>
        <w:t>,000元</w:t>
      </w:r>
      <w:r>
        <w:rPr>
          <w:rFonts w:hint="eastAsia" w:ascii="仿宋_GB2312" w:eastAsia="仿宋_GB2312"/>
          <w:sz w:val="32"/>
          <w:szCs w:val="32"/>
          <w:lang w:eastAsia="zh-CN"/>
        </w:rPr>
        <w:t>（其中市级财政奖励</w:t>
      </w:r>
      <w:r>
        <w:rPr>
          <w:rFonts w:hint="eastAsia" w:ascii="仿宋_GB2312" w:eastAsia="仿宋_GB2312"/>
          <w:sz w:val="32"/>
          <w:szCs w:val="32"/>
          <w:lang w:val="en-US" w:eastAsia="zh-CN"/>
        </w:rPr>
        <w:t>1200元，区级财政奖励4800元</w:t>
      </w:r>
      <w:r>
        <w:rPr>
          <w:rFonts w:hint="eastAsia" w:ascii="仿宋_GB2312" w:eastAsia="仿宋_GB2312"/>
          <w:sz w:val="32"/>
          <w:szCs w:val="32"/>
          <w:lang w:eastAsia="zh-CN"/>
        </w:rPr>
        <w:t>）</w:t>
      </w:r>
      <w:r>
        <w:rPr>
          <w:rFonts w:hint="eastAsia" w:ascii="仿宋_GB2312" w:eastAsia="仿宋_GB2312"/>
          <w:sz w:val="32"/>
          <w:szCs w:val="32"/>
          <w:lang w:val="en-US" w:eastAsia="zh-CN"/>
        </w:rPr>
        <w:t>。</w:t>
      </w:r>
    </w:p>
    <w:p>
      <w:pPr>
        <w:spacing w:line="560" w:lineRule="exact"/>
        <w:ind w:firstLine="640" w:firstLineChars="200"/>
        <w:rPr>
          <w:rFonts w:hint="eastAsia" w:ascii="仿宋_GB2312" w:eastAsia="仿宋_GB2312"/>
          <w:sz w:val="32"/>
          <w:szCs w:val="32"/>
        </w:rPr>
      </w:pPr>
      <w:r>
        <w:rPr>
          <w:rFonts w:hint="eastAsia" w:ascii="黑体" w:eastAsia="黑体"/>
          <w:sz w:val="32"/>
          <w:szCs w:val="32"/>
        </w:rPr>
        <w:t xml:space="preserve">第四条 </w:t>
      </w:r>
      <w:r>
        <w:rPr>
          <w:rFonts w:hint="eastAsia" w:ascii="仿宋_GB2312" w:eastAsia="仿宋_GB2312"/>
          <w:sz w:val="32"/>
          <w:szCs w:val="32"/>
        </w:rPr>
        <w:t xml:space="preserve"> 申报条件。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（一）在佛山市行政区域内登记注册的且于2019 年1 月1 日至202</w:t>
      </w:r>
      <w:r>
        <w:rPr>
          <w:rFonts w:hint="eastAsia" w:ascii="仿宋_GB2312" w:eastAsia="仿宋_GB2312"/>
          <w:sz w:val="32"/>
          <w:szCs w:val="32"/>
          <w:lang w:val="en-US" w:eastAsia="zh-CN"/>
        </w:rPr>
        <w:t>0</w:t>
      </w:r>
      <w:r>
        <w:rPr>
          <w:rFonts w:hint="eastAsia" w:ascii="仿宋_GB2312" w:eastAsia="仿宋_GB2312"/>
          <w:sz w:val="32"/>
          <w:szCs w:val="32"/>
        </w:rPr>
        <w:t>年12 月31 日期间成功转型升级为企业的个体工商户；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（二）升级企业的投资者包含至少1个原个体工商户经营者；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（三）个体工商户经营场所和拟设升级企业住所均在佛山市行政区域内。</w:t>
      </w:r>
    </w:p>
    <w:p>
      <w:pPr>
        <w:spacing w:line="560" w:lineRule="exact"/>
        <w:ind w:firstLine="640" w:firstLineChars="200"/>
        <w:rPr>
          <w:rFonts w:hint="eastAsia" w:ascii="仿宋_GB2312" w:eastAsia="仿宋_GB2312"/>
          <w:sz w:val="32"/>
          <w:szCs w:val="32"/>
        </w:rPr>
      </w:pPr>
      <w:r>
        <w:rPr>
          <w:rFonts w:hint="eastAsia" w:ascii="黑体" w:eastAsia="黑体"/>
          <w:sz w:val="32"/>
          <w:szCs w:val="32"/>
        </w:rPr>
        <w:t xml:space="preserve">第五条  </w:t>
      </w:r>
      <w:r>
        <w:rPr>
          <w:rFonts w:hint="eastAsia" w:ascii="仿宋_GB2312" w:eastAsia="仿宋_GB2312"/>
          <w:sz w:val="32"/>
          <w:szCs w:val="32"/>
        </w:rPr>
        <w:t>申报材料。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转型升级后的企业申请奖励资金应向</w:t>
      </w:r>
      <w:r>
        <w:rPr>
          <w:rFonts w:hint="eastAsia" w:ascii="仿宋_GB2312" w:eastAsia="仿宋_GB2312"/>
          <w:sz w:val="32"/>
          <w:szCs w:val="32"/>
          <w:lang w:eastAsia="zh-CN"/>
        </w:rPr>
        <w:t>市场监督管理</w:t>
      </w:r>
      <w:r>
        <w:rPr>
          <w:rFonts w:hint="eastAsia" w:ascii="仿宋_GB2312" w:eastAsia="仿宋_GB2312"/>
          <w:sz w:val="32"/>
          <w:szCs w:val="32"/>
        </w:rPr>
        <w:t>部门提供下列材料：</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佛山市</w:t>
      </w:r>
      <w:r>
        <w:rPr>
          <w:rFonts w:hint="eastAsia" w:ascii="仿宋_GB2312" w:eastAsia="仿宋_GB2312"/>
          <w:sz w:val="32"/>
          <w:szCs w:val="32"/>
          <w:lang w:eastAsia="zh-CN"/>
        </w:rPr>
        <w:t>进一步促进</w:t>
      </w:r>
      <w:r>
        <w:rPr>
          <w:rFonts w:hint="eastAsia" w:ascii="仿宋_GB2312" w:eastAsia="仿宋_GB2312"/>
          <w:sz w:val="32"/>
          <w:szCs w:val="32"/>
        </w:rPr>
        <w:t>个体工商户转型升级奖励资金申请审批表</w:t>
      </w:r>
      <w:r>
        <w:rPr>
          <w:rFonts w:hint="eastAsia" w:ascii="仿宋_GB2312" w:eastAsia="仿宋_GB2312"/>
          <w:sz w:val="32"/>
          <w:szCs w:val="32"/>
          <w:lang w:eastAsia="zh-CN"/>
        </w:rPr>
        <w:t>（见附件</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（二）企业营业执照副本复印件（原件核对）；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（三）个体工商户升级为企业的证明复印件（原件核对）；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eastAsia="zh-CN"/>
        </w:rPr>
        <w:t>基本存款账号编号</w:t>
      </w:r>
      <w:r>
        <w:rPr>
          <w:rFonts w:hint="eastAsia" w:ascii="仿宋_GB2312" w:eastAsia="仿宋_GB2312"/>
          <w:sz w:val="32"/>
          <w:szCs w:val="32"/>
        </w:rPr>
        <w:t>（原件核对）；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）需要提供的其他材料。</w:t>
      </w:r>
    </w:p>
    <w:p>
      <w:pPr>
        <w:spacing w:line="560" w:lineRule="exact"/>
        <w:ind w:firstLine="640" w:firstLineChars="200"/>
        <w:rPr>
          <w:rFonts w:hint="eastAsia" w:ascii="仿宋_GB2312" w:eastAsia="仿宋_GB2312"/>
          <w:sz w:val="32"/>
          <w:szCs w:val="32"/>
        </w:rPr>
      </w:pPr>
      <w:r>
        <w:rPr>
          <w:rFonts w:hint="eastAsia" w:ascii="黑体" w:eastAsia="黑体"/>
          <w:sz w:val="32"/>
          <w:szCs w:val="32"/>
        </w:rPr>
        <w:t xml:space="preserve">第六条 </w:t>
      </w:r>
      <w:r>
        <w:rPr>
          <w:rFonts w:hint="eastAsia" w:ascii="仿宋_GB2312" w:eastAsia="仿宋_GB2312"/>
          <w:sz w:val="32"/>
          <w:szCs w:val="32"/>
        </w:rPr>
        <w:t xml:space="preserve"> 奖励资金申报、审核及审批程序。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（一）各区</w:t>
      </w:r>
      <w:r>
        <w:rPr>
          <w:rFonts w:hint="eastAsia" w:ascii="仿宋_GB2312" w:eastAsia="仿宋_GB2312"/>
          <w:sz w:val="32"/>
          <w:szCs w:val="32"/>
          <w:lang w:eastAsia="zh-CN"/>
        </w:rPr>
        <w:t>市场监督管理局于每年</w:t>
      </w:r>
      <w:r>
        <w:rPr>
          <w:rFonts w:hint="eastAsia" w:ascii="仿宋_GB2312" w:eastAsia="仿宋_GB2312"/>
          <w:sz w:val="32"/>
          <w:szCs w:val="32"/>
          <w:lang w:val="en-US" w:eastAsia="zh-CN"/>
        </w:rPr>
        <w:t>6月30日前收取申报材料。</w:t>
      </w:r>
      <w:r>
        <w:rPr>
          <w:rFonts w:hint="eastAsia" w:ascii="仿宋_GB2312" w:eastAsia="仿宋_GB2312"/>
          <w:sz w:val="32"/>
          <w:szCs w:val="32"/>
        </w:rPr>
        <w:t>收到申报材料后，按照要求进行审核，确定奖励资金的档次及金额，</w:t>
      </w:r>
      <w:r>
        <w:rPr>
          <w:rFonts w:hint="eastAsia" w:ascii="仿宋_GB2312" w:eastAsia="仿宋_GB2312"/>
          <w:sz w:val="32"/>
          <w:szCs w:val="32"/>
          <w:lang w:eastAsia="zh-CN"/>
        </w:rPr>
        <w:t>于每年</w:t>
      </w:r>
      <w:r>
        <w:rPr>
          <w:rFonts w:hint="eastAsia" w:ascii="仿宋_GB2312" w:eastAsia="仿宋_GB2312"/>
          <w:sz w:val="32"/>
          <w:szCs w:val="32"/>
          <w:lang w:val="en-US" w:eastAsia="zh-CN"/>
        </w:rPr>
        <w:t>7月20日前</w:t>
      </w:r>
      <w:r>
        <w:rPr>
          <w:rFonts w:hint="eastAsia" w:ascii="仿宋_GB2312" w:eastAsia="仿宋_GB2312"/>
          <w:sz w:val="32"/>
          <w:szCs w:val="32"/>
        </w:rPr>
        <w:t>报市</w:t>
      </w:r>
      <w:r>
        <w:rPr>
          <w:rFonts w:hint="eastAsia" w:ascii="仿宋_GB2312" w:eastAsia="仿宋_GB2312"/>
          <w:sz w:val="32"/>
          <w:szCs w:val="32"/>
          <w:lang w:eastAsia="zh-CN"/>
        </w:rPr>
        <w:t>市场监督管理局（见附件</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（二）市</w:t>
      </w:r>
      <w:r>
        <w:rPr>
          <w:rFonts w:hint="eastAsia" w:ascii="仿宋_GB2312" w:eastAsia="仿宋_GB2312"/>
          <w:sz w:val="32"/>
          <w:szCs w:val="32"/>
          <w:lang w:eastAsia="zh-CN"/>
        </w:rPr>
        <w:t>市场监督管理局</w:t>
      </w:r>
      <w:r>
        <w:rPr>
          <w:rFonts w:hint="eastAsia" w:ascii="仿宋_GB2312" w:eastAsia="仿宋_GB2312"/>
          <w:sz w:val="32"/>
          <w:szCs w:val="32"/>
        </w:rPr>
        <w:t>汇总各区申报资料进行复核，并</w:t>
      </w:r>
      <w:r>
        <w:rPr>
          <w:rFonts w:hint="eastAsia" w:ascii="仿宋_GB2312" w:eastAsia="仿宋_GB2312"/>
          <w:sz w:val="32"/>
          <w:szCs w:val="32"/>
          <w:lang w:eastAsia="zh-CN"/>
        </w:rPr>
        <w:t>根据审核情况申报下一年度财政预算。奖励资金落实后，市市场监督管理局根据《关于进一步加强市级财政资金支出管理的意见》（佛府办函</w:t>
      </w:r>
      <w:r>
        <w:rPr>
          <w:rFonts w:hint="eastAsia" w:ascii="仿宋_GB2312" w:eastAsia="仿宋_GB2312"/>
          <w:sz w:val="32"/>
          <w:szCs w:val="32"/>
          <w:lang w:val="en-US" w:eastAsia="zh-CN"/>
        </w:rPr>
        <w:t>[2017]356号</w:t>
      </w:r>
      <w:r>
        <w:rPr>
          <w:rFonts w:hint="eastAsia" w:ascii="仿宋_GB2312" w:eastAsia="仿宋_GB2312"/>
          <w:sz w:val="32"/>
          <w:szCs w:val="32"/>
          <w:lang w:eastAsia="zh-CN"/>
        </w:rPr>
        <w:t>）规定的审批程序，将审核确定的转型升级企业名单及奖励金额报批。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审批后，市财政局将应由市本级承担的奖励资金拨付给各区财政局，各区财政局连同区级财政承担部门一并兑付给企业。</w:t>
      </w:r>
    </w:p>
    <w:p>
      <w:pPr>
        <w:spacing w:line="560" w:lineRule="exact"/>
        <w:ind w:firstLine="640" w:firstLineChars="200"/>
        <w:rPr>
          <w:rFonts w:hint="eastAsia" w:ascii="仿宋_GB2312" w:eastAsia="仿宋_GB2312"/>
          <w:sz w:val="32"/>
          <w:szCs w:val="32"/>
        </w:rPr>
      </w:pPr>
      <w:r>
        <w:rPr>
          <w:rFonts w:hint="eastAsia" w:ascii="黑体" w:eastAsia="黑体"/>
          <w:sz w:val="32"/>
          <w:szCs w:val="32"/>
        </w:rPr>
        <w:t xml:space="preserve">第七条  </w:t>
      </w:r>
      <w:r>
        <w:rPr>
          <w:rFonts w:hint="eastAsia" w:ascii="仿宋_GB2312" w:eastAsia="仿宋_GB2312"/>
          <w:sz w:val="32"/>
          <w:szCs w:val="32"/>
        </w:rPr>
        <w:t>专项资金使用管理。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（一）专项资金必须严格在本办法规定的标准内开支，不得超标准开支。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（二）专项资金必须按本办法规定的使用范围分配和使用，任何单位不得挤占、截留、挪用。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（三）年终未用的专项资金预算指标，原则上统一由财政部门收回，不予结转。对于跨年度项目，在下年度存续期间视资金实际需要，按照部门预算编制程序办理。</w:t>
      </w:r>
    </w:p>
    <w:p>
      <w:pPr>
        <w:spacing w:line="560" w:lineRule="exact"/>
        <w:ind w:firstLine="640" w:firstLineChars="200"/>
        <w:rPr>
          <w:rFonts w:hint="eastAsia" w:ascii="仿宋_GB2312" w:eastAsia="仿宋_GB2312"/>
          <w:sz w:val="32"/>
          <w:szCs w:val="32"/>
        </w:rPr>
      </w:pPr>
      <w:r>
        <w:rPr>
          <w:rFonts w:hint="eastAsia" w:ascii="黑体" w:eastAsia="黑体"/>
          <w:sz w:val="32"/>
          <w:szCs w:val="32"/>
        </w:rPr>
        <w:t xml:space="preserve">第八条  </w:t>
      </w:r>
      <w:r>
        <w:rPr>
          <w:rFonts w:hint="eastAsia" w:ascii="仿宋_GB2312" w:eastAsia="仿宋_GB2312"/>
          <w:sz w:val="32"/>
          <w:szCs w:val="32"/>
        </w:rPr>
        <w:t>监督检查制度。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（一）全市各级</w:t>
      </w:r>
      <w:r>
        <w:rPr>
          <w:rFonts w:hint="eastAsia" w:ascii="仿宋_GB2312" w:eastAsia="仿宋_GB2312"/>
          <w:sz w:val="32"/>
          <w:szCs w:val="32"/>
          <w:lang w:eastAsia="zh-CN"/>
        </w:rPr>
        <w:t>市场监督管理</w:t>
      </w:r>
      <w:r>
        <w:rPr>
          <w:rFonts w:hint="eastAsia" w:ascii="仿宋_GB2312" w:eastAsia="仿宋_GB2312"/>
          <w:sz w:val="32"/>
          <w:szCs w:val="32"/>
        </w:rPr>
        <w:t>部门要定期或不定期对专项资金分配和使用情况开展监督检查，并对专项资金的预算执行、使用分配效益和财务管理等进行总结。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获得奖励的个体工商户应自觉接受各级市场监督管理、财政、监察、审计等部门的监督检查</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违反本办法规定，以虚报、冒领等手段骗取专项资金的，依法责令其将已收资金退回财政部门，并依照有关法律法规规定追究相关人员的责任；截留、挤占、挪用专项资金的，依法追究直接责任人员和主管人员的行政责任；涉嫌犯罪的，依法移交司法机关处理。</w:t>
      </w:r>
    </w:p>
    <w:p>
      <w:pPr>
        <w:spacing w:line="560" w:lineRule="exact"/>
        <w:ind w:firstLine="640" w:firstLineChars="200"/>
        <w:rPr>
          <w:rFonts w:hint="eastAsia" w:ascii="仿宋_GB2312" w:eastAsia="仿宋_GB2312"/>
          <w:sz w:val="32"/>
          <w:szCs w:val="32"/>
          <w:lang w:eastAsia="zh-CN"/>
        </w:rPr>
      </w:pPr>
      <w:r>
        <w:rPr>
          <w:rFonts w:hint="eastAsia" w:ascii="黑体" w:eastAsia="黑体"/>
          <w:sz w:val="32"/>
          <w:szCs w:val="32"/>
        </w:rPr>
        <w:t xml:space="preserve">第九条  </w:t>
      </w:r>
      <w:bookmarkStart w:id="0" w:name="OLE_LINK3"/>
      <w:r>
        <w:rPr>
          <w:rFonts w:hint="eastAsia" w:ascii="仿宋_GB2312" w:eastAsia="仿宋_GB2312"/>
          <w:sz w:val="32"/>
          <w:szCs w:val="32"/>
        </w:rPr>
        <w:t>本办法奖励资金</w:t>
      </w:r>
      <w:bookmarkEnd w:id="0"/>
      <w:r>
        <w:rPr>
          <w:rFonts w:hint="eastAsia" w:ascii="仿宋_GB2312" w:eastAsia="仿宋_GB2312"/>
          <w:sz w:val="32"/>
          <w:szCs w:val="32"/>
          <w:lang w:eastAsia="zh-CN"/>
        </w:rPr>
        <w:t>按当年奖励上年的跨年奖励的原则实施。</w:t>
      </w:r>
    </w:p>
    <w:p>
      <w:pPr>
        <w:spacing w:line="560" w:lineRule="exact"/>
        <w:ind w:firstLine="640" w:firstLineChars="200"/>
        <w:rPr>
          <w:rFonts w:hint="eastAsia" w:ascii="仿宋_GB2312" w:eastAsia="仿宋_GB2312"/>
          <w:sz w:val="32"/>
          <w:szCs w:val="32"/>
        </w:rPr>
      </w:pPr>
      <w:r>
        <w:rPr>
          <w:rFonts w:hint="eastAsia" w:ascii="黑体" w:eastAsia="黑体"/>
          <w:sz w:val="32"/>
          <w:szCs w:val="32"/>
          <w:lang w:eastAsia="zh-CN"/>
        </w:rPr>
        <w:t>第十条</w:t>
      </w:r>
      <w:r>
        <w:rPr>
          <w:rFonts w:hint="eastAsia" w:ascii="仿宋_GB2312" w:eastAsia="仿宋_GB2312"/>
          <w:sz w:val="32"/>
          <w:szCs w:val="32"/>
          <w:lang w:val="en-US" w:eastAsia="zh-CN"/>
        </w:rPr>
        <w:t xml:space="preserve">  </w:t>
      </w:r>
      <w:r>
        <w:rPr>
          <w:rFonts w:hint="eastAsia" w:ascii="仿宋_GB2312" w:eastAsia="仿宋_GB2312"/>
          <w:sz w:val="32"/>
          <w:szCs w:val="32"/>
        </w:rPr>
        <w:t>本办法奖励资金由个体工商户所在区负担为主，市级补助资金列入年度预算。</w:t>
      </w:r>
    </w:p>
    <w:p>
      <w:pPr>
        <w:spacing w:line="560" w:lineRule="exact"/>
        <w:ind w:firstLine="640" w:firstLineChars="200"/>
        <w:rPr>
          <w:rFonts w:hint="eastAsia" w:ascii="仿宋_GB2312" w:eastAsia="仿宋_GB2312"/>
          <w:sz w:val="32"/>
          <w:szCs w:val="32"/>
        </w:rPr>
      </w:pPr>
      <w:r>
        <w:rPr>
          <w:rFonts w:hint="eastAsia" w:ascii="黑体" w:eastAsia="黑体"/>
          <w:sz w:val="32"/>
          <w:szCs w:val="32"/>
        </w:rPr>
        <w:t>第十</w:t>
      </w:r>
      <w:r>
        <w:rPr>
          <w:rFonts w:hint="eastAsia" w:ascii="黑体" w:eastAsia="黑体"/>
          <w:sz w:val="32"/>
          <w:szCs w:val="32"/>
          <w:lang w:eastAsia="zh-CN"/>
        </w:rPr>
        <w:t>一</w:t>
      </w:r>
      <w:r>
        <w:rPr>
          <w:rFonts w:hint="eastAsia" w:ascii="黑体" w:eastAsia="黑体"/>
          <w:sz w:val="32"/>
          <w:szCs w:val="32"/>
        </w:rPr>
        <w:t>条</w:t>
      </w:r>
      <w:r>
        <w:rPr>
          <w:rFonts w:hint="eastAsia" w:ascii="仿宋_GB2312" w:eastAsia="仿宋_GB2312"/>
          <w:sz w:val="32"/>
          <w:szCs w:val="32"/>
        </w:rPr>
        <w:t xml:space="preserve">  本办法自印发之日起施行至2021年12月31日止。</w:t>
      </w:r>
    </w:p>
    <w:p>
      <w:pPr>
        <w:spacing w:line="560" w:lineRule="exact"/>
        <w:ind w:firstLine="640" w:firstLineChars="200"/>
        <w:rPr>
          <w:rFonts w:hint="eastAsia" w:ascii="仿宋_GB2312" w:eastAsia="仿宋_GB2312"/>
          <w:sz w:val="32"/>
          <w:szCs w:val="32"/>
        </w:rPr>
      </w:pPr>
      <w:r>
        <w:rPr>
          <w:rFonts w:hint="eastAsia" w:ascii="黑体" w:eastAsia="黑体"/>
          <w:sz w:val="32"/>
          <w:szCs w:val="32"/>
        </w:rPr>
        <w:t>第十</w:t>
      </w:r>
      <w:r>
        <w:rPr>
          <w:rFonts w:hint="eastAsia" w:ascii="黑体" w:eastAsia="黑体"/>
          <w:sz w:val="32"/>
          <w:szCs w:val="32"/>
          <w:lang w:eastAsia="zh-CN"/>
        </w:rPr>
        <w:t>二</w:t>
      </w:r>
      <w:r>
        <w:rPr>
          <w:rFonts w:hint="eastAsia" w:ascii="黑体" w:eastAsia="黑体"/>
          <w:sz w:val="32"/>
          <w:szCs w:val="32"/>
        </w:rPr>
        <w:t>条</w:t>
      </w:r>
      <w:r>
        <w:rPr>
          <w:rFonts w:hint="eastAsia" w:ascii="仿宋_GB2312" w:eastAsia="仿宋_GB2312"/>
          <w:sz w:val="32"/>
          <w:szCs w:val="32"/>
        </w:rPr>
        <w:t xml:space="preserve">  本办法由市</w:t>
      </w:r>
      <w:r>
        <w:rPr>
          <w:rFonts w:hint="eastAsia" w:ascii="仿宋_GB2312" w:eastAsia="仿宋_GB2312"/>
          <w:sz w:val="32"/>
          <w:szCs w:val="32"/>
          <w:lang w:eastAsia="zh-CN"/>
        </w:rPr>
        <w:t>市场监督管理局</w:t>
      </w:r>
      <w:r>
        <w:rPr>
          <w:rFonts w:hint="eastAsia" w:ascii="仿宋_GB2312" w:eastAsia="仿宋_GB2312"/>
          <w:sz w:val="32"/>
          <w:szCs w:val="32"/>
        </w:rPr>
        <w:t>、市财政局负责解释。</w:t>
      </w:r>
    </w:p>
    <w:p>
      <w:pPr>
        <w:spacing w:line="560" w:lineRule="exact"/>
        <w:rPr>
          <w:rFonts w:hint="eastAsia" w:ascii="仿宋_GB2312" w:eastAsia="仿宋_GB2312"/>
          <w:sz w:val="32"/>
          <w:szCs w:val="32"/>
        </w:rPr>
      </w:pPr>
    </w:p>
    <w:p>
      <w:pPr>
        <w:spacing w:line="560" w:lineRule="exact"/>
        <w:ind w:left="1872" w:leftChars="304" w:hanging="960" w:hangingChars="300"/>
        <w:rPr>
          <w:rFonts w:hint="eastAsia" w:ascii="仿宋_GB2312" w:eastAsia="仿宋_GB2312"/>
          <w:sz w:val="32"/>
          <w:szCs w:val="32"/>
        </w:rPr>
      </w:pPr>
      <w:r>
        <w:rPr>
          <w:rFonts w:hint="eastAsia" w:ascii="仿宋_GB2312" w:eastAsia="仿宋_GB2312"/>
          <w:sz w:val="32"/>
          <w:szCs w:val="32"/>
        </w:rPr>
        <w:t>附件：1.佛山市</w:t>
      </w:r>
      <w:r>
        <w:rPr>
          <w:rFonts w:hint="eastAsia" w:ascii="仿宋_GB2312" w:eastAsia="仿宋_GB2312"/>
          <w:sz w:val="32"/>
          <w:szCs w:val="32"/>
          <w:lang w:eastAsia="zh-CN"/>
        </w:rPr>
        <w:t>进一步促进</w:t>
      </w:r>
      <w:r>
        <w:rPr>
          <w:rFonts w:hint="eastAsia" w:ascii="仿宋_GB2312" w:eastAsia="仿宋_GB2312"/>
          <w:sz w:val="32"/>
          <w:szCs w:val="32"/>
        </w:rPr>
        <w:t>个体工商户转型升级奖励资金申请审批表</w:t>
      </w:r>
    </w:p>
    <w:p>
      <w:pPr>
        <w:numPr>
          <w:ilvl w:val="0"/>
          <w:numId w:val="2"/>
        </w:numPr>
        <w:spacing w:line="560" w:lineRule="exact"/>
        <w:ind w:firstLine="1600" w:firstLineChars="500"/>
        <w:rPr>
          <w:rFonts w:hint="eastAsia" w:ascii="仿宋_GB2312" w:eastAsia="仿宋_GB2312"/>
          <w:sz w:val="32"/>
          <w:szCs w:val="32"/>
        </w:rPr>
      </w:pPr>
      <w:r>
        <w:rPr>
          <w:rFonts w:hint="eastAsia" w:ascii="仿宋_GB2312" w:eastAsia="仿宋_GB2312"/>
          <w:sz w:val="32"/>
          <w:szCs w:val="32"/>
        </w:rPr>
        <w:t>佛山市</w:t>
      </w:r>
      <w:r>
        <w:rPr>
          <w:rFonts w:hint="eastAsia" w:ascii="仿宋_GB2312" w:eastAsia="仿宋_GB2312"/>
          <w:sz w:val="32"/>
          <w:szCs w:val="32"/>
          <w:lang w:eastAsia="zh-CN"/>
        </w:rPr>
        <w:t>进一步促进</w:t>
      </w:r>
      <w:r>
        <w:rPr>
          <w:rFonts w:hint="eastAsia" w:ascii="仿宋_GB2312" w:eastAsia="仿宋_GB2312"/>
          <w:sz w:val="32"/>
          <w:szCs w:val="32"/>
        </w:rPr>
        <w:t>个体工商户转型升级奖</w:t>
      </w:r>
    </w:p>
    <w:p>
      <w:pPr>
        <w:numPr>
          <w:ilvl w:val="0"/>
          <w:numId w:val="0"/>
        </w:numPr>
        <w:spacing w:line="560" w:lineRule="exact"/>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励资金申请汇总表</w:t>
      </w:r>
    </w:p>
    <w:p>
      <w:pPr>
        <w:spacing w:line="560" w:lineRule="exact"/>
        <w:rPr>
          <w:rFonts w:hint="eastAsia" w:ascii="仿宋_GB2312" w:eastAsia="仿宋_GB2312"/>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r>
        <w:rPr>
          <w:rFonts w:hint="eastAsia" w:ascii="黑体" w:eastAsia="黑体"/>
          <w:sz w:val="32"/>
          <w:szCs w:val="32"/>
        </w:rPr>
        <w:br w:type="page"/>
      </w:r>
    </w:p>
    <w:p>
      <w:pPr>
        <w:spacing w:line="560" w:lineRule="exact"/>
        <w:rPr>
          <w:rFonts w:hint="eastAsia" w:ascii="黑体" w:eastAsia="黑体"/>
          <w:sz w:val="32"/>
          <w:szCs w:val="32"/>
        </w:rPr>
      </w:pPr>
      <w:r>
        <w:rPr>
          <w:rFonts w:hint="eastAsia" w:ascii="黑体" w:eastAsia="黑体"/>
          <w:sz w:val="32"/>
          <w:szCs w:val="32"/>
        </w:rPr>
        <w:t>附件1</w:t>
      </w:r>
      <w:r>
        <w:rPr>
          <w:rFonts w:hint="eastAsia" w:ascii="黑体" w:eastAsia="黑体"/>
          <w:sz w:val="32"/>
          <w:szCs w:val="32"/>
          <w:lang w:eastAsia="zh-CN"/>
        </w:rPr>
        <w:t>：</w:t>
      </w:r>
    </w:p>
    <w:p>
      <w:pPr>
        <w:spacing w:line="560" w:lineRule="exact"/>
        <w:rPr>
          <w:rFonts w:hint="eastAsia" w:ascii="仿宋_GB2312" w:eastAsia="仿宋_GB2312"/>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佛山市</w:t>
      </w:r>
      <w:r>
        <w:rPr>
          <w:rFonts w:hint="eastAsia" w:ascii="方正小标宋简体" w:eastAsia="方正小标宋简体"/>
          <w:sz w:val="44"/>
          <w:szCs w:val="44"/>
          <w:lang w:eastAsia="zh-CN"/>
        </w:rPr>
        <w:t>进一步促进</w:t>
      </w:r>
      <w:r>
        <w:rPr>
          <w:rFonts w:hint="eastAsia" w:ascii="方正小标宋简体" w:eastAsia="方正小标宋简体"/>
          <w:sz w:val="44"/>
          <w:szCs w:val="44"/>
        </w:rPr>
        <w:t>个体工商户转型升级</w:t>
      </w:r>
    </w:p>
    <w:p>
      <w:pPr>
        <w:spacing w:line="560" w:lineRule="exact"/>
        <w:ind w:firstLine="420"/>
        <w:jc w:val="center"/>
        <w:rPr>
          <w:rFonts w:hint="eastAsia" w:ascii="方正小标宋简体" w:eastAsia="方正小标宋简体"/>
          <w:sz w:val="44"/>
          <w:szCs w:val="44"/>
        </w:rPr>
      </w:pPr>
      <w:r>
        <w:rPr>
          <w:rFonts w:hint="eastAsia" w:ascii="方正小标宋简体" w:eastAsia="方正小标宋简体"/>
          <w:sz w:val="44"/>
          <w:szCs w:val="44"/>
        </w:rPr>
        <w:t>奖励资金申请审批表</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宋体" w:hAnsi="宋体"/>
          <w:color w:val="000000"/>
          <w:sz w:val="28"/>
        </w:rPr>
        <w:t>申请企业（盖章）：                       填报日期：</w:t>
      </w:r>
    </w:p>
    <w:tbl>
      <w:tblPr>
        <w:tblStyle w:val="5"/>
        <w:tblW w:w="9230" w:type="dxa"/>
        <w:tblInd w:w="-3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50"/>
        <w:gridCol w:w="1768"/>
        <w:gridCol w:w="202"/>
        <w:gridCol w:w="900"/>
        <w:gridCol w:w="1103"/>
        <w:gridCol w:w="177"/>
        <w:gridCol w:w="2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2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8"/>
              </w:rPr>
            </w:pPr>
            <w:r>
              <w:rPr>
                <w:rFonts w:ascii="宋体" w:hAnsi="宋体"/>
                <w:color w:val="000000"/>
                <w:sz w:val="28"/>
              </w:rPr>
              <w:t>企业名称</w:t>
            </w:r>
          </w:p>
        </w:tc>
        <w:tc>
          <w:tcPr>
            <w:tcW w:w="6480"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9" w:hRule="atLeast"/>
        </w:trPr>
        <w:tc>
          <w:tcPr>
            <w:tcW w:w="2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8"/>
              </w:rPr>
            </w:pPr>
            <w:r>
              <w:rPr>
                <w:rFonts w:ascii="宋体" w:hAnsi="宋体"/>
                <w:color w:val="000000"/>
                <w:sz w:val="28"/>
              </w:rPr>
              <w:t>开户银行名称</w:t>
            </w:r>
          </w:p>
        </w:tc>
        <w:tc>
          <w:tcPr>
            <w:tcW w:w="19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8"/>
              </w:rPr>
            </w:pPr>
          </w:p>
        </w:tc>
        <w:tc>
          <w:tcPr>
            <w:tcW w:w="900" w:type="dxa"/>
            <w:tcBorders>
              <w:top w:val="single" w:color="000000" w:sz="4" w:space="0"/>
              <w:bottom w:val="single" w:color="000000" w:sz="4" w:space="0"/>
            </w:tcBorders>
            <w:vAlign w:val="center"/>
          </w:tcPr>
          <w:p>
            <w:pPr>
              <w:autoSpaceDN w:val="0"/>
              <w:jc w:val="center"/>
              <w:textAlignment w:val="center"/>
              <w:rPr>
                <w:rFonts w:ascii="宋体" w:hAnsi="宋体"/>
                <w:color w:val="000000"/>
                <w:sz w:val="28"/>
              </w:rPr>
            </w:pPr>
            <w:r>
              <w:rPr>
                <w:rFonts w:ascii="宋体" w:hAnsi="宋体"/>
                <w:color w:val="000000"/>
                <w:sz w:val="28"/>
              </w:rPr>
              <w:t>账号</w:t>
            </w:r>
          </w:p>
        </w:tc>
        <w:tc>
          <w:tcPr>
            <w:tcW w:w="361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8" w:hRule="atLeast"/>
        </w:trPr>
        <w:tc>
          <w:tcPr>
            <w:tcW w:w="2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8"/>
              </w:rPr>
            </w:pPr>
            <w:r>
              <w:rPr>
                <w:rFonts w:ascii="宋体" w:hAnsi="宋体"/>
                <w:color w:val="000000"/>
                <w:sz w:val="28"/>
              </w:rPr>
              <w:t>原个体工商户名称</w:t>
            </w:r>
          </w:p>
        </w:tc>
        <w:tc>
          <w:tcPr>
            <w:tcW w:w="6480"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2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8"/>
              </w:rPr>
            </w:pPr>
            <w:r>
              <w:rPr>
                <w:rFonts w:ascii="宋体" w:hAnsi="宋体"/>
                <w:color w:val="000000"/>
                <w:sz w:val="28"/>
              </w:rPr>
              <w:t>注册地址</w:t>
            </w:r>
          </w:p>
        </w:tc>
        <w:tc>
          <w:tcPr>
            <w:tcW w:w="6480"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trPr>
        <w:tc>
          <w:tcPr>
            <w:tcW w:w="2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8"/>
              </w:rPr>
            </w:pPr>
            <w:r>
              <w:rPr>
                <w:rFonts w:ascii="宋体" w:hAnsi="宋体"/>
                <w:color w:val="000000"/>
                <w:sz w:val="28"/>
              </w:rPr>
              <w:t>注册时间</w:t>
            </w:r>
          </w:p>
        </w:tc>
        <w:tc>
          <w:tcPr>
            <w:tcW w:w="17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8"/>
              </w:rPr>
            </w:pPr>
          </w:p>
        </w:tc>
        <w:tc>
          <w:tcPr>
            <w:tcW w:w="238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olor w:val="000000"/>
                <w:sz w:val="28"/>
                <w:lang w:val="en-US" w:eastAsia="zh-CN"/>
              </w:rPr>
            </w:pPr>
            <w:r>
              <w:rPr>
                <w:rFonts w:ascii="宋体" w:hAnsi="宋体"/>
                <w:color w:val="000000"/>
                <w:sz w:val="28"/>
              </w:rPr>
              <w:t>法定代表人</w:t>
            </w:r>
            <w:r>
              <w:rPr>
                <w:rFonts w:hint="eastAsia" w:ascii="宋体" w:hAnsi="宋体"/>
                <w:color w:val="000000"/>
                <w:sz w:val="28"/>
                <w:lang w:val="en-US" w:eastAsia="zh-CN"/>
              </w:rPr>
              <w:t>/</w:t>
            </w:r>
          </w:p>
          <w:p>
            <w:pPr>
              <w:autoSpaceDN w:val="0"/>
              <w:jc w:val="center"/>
              <w:textAlignment w:val="center"/>
              <w:rPr>
                <w:rFonts w:ascii="宋体" w:hAnsi="宋体"/>
                <w:color w:val="000000"/>
                <w:sz w:val="28"/>
              </w:rPr>
            </w:pPr>
            <w:r>
              <w:rPr>
                <w:rFonts w:hint="eastAsia" w:ascii="宋体" w:hAnsi="宋体"/>
                <w:color w:val="000000"/>
                <w:sz w:val="28"/>
                <w:lang w:val="en-US" w:eastAsia="zh-CN"/>
              </w:rPr>
              <w:t>投资人</w:t>
            </w:r>
            <w:r>
              <w:rPr>
                <w:rFonts w:ascii="宋体" w:hAnsi="宋体"/>
                <w:color w:val="000000"/>
                <w:sz w:val="28"/>
              </w:rPr>
              <w:t>名称</w:t>
            </w:r>
          </w:p>
        </w:tc>
        <w:tc>
          <w:tcPr>
            <w:tcW w:w="23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2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8"/>
              </w:rPr>
            </w:pPr>
            <w:r>
              <w:rPr>
                <w:rFonts w:ascii="宋体" w:hAnsi="宋体"/>
                <w:color w:val="000000"/>
                <w:sz w:val="28"/>
              </w:rPr>
              <w:t>所属行业</w:t>
            </w:r>
          </w:p>
        </w:tc>
        <w:tc>
          <w:tcPr>
            <w:tcW w:w="6480"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3" w:hRule="atLeast"/>
        </w:trPr>
        <w:tc>
          <w:tcPr>
            <w:tcW w:w="2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8"/>
              </w:rPr>
            </w:pPr>
            <w:r>
              <w:rPr>
                <w:rFonts w:ascii="宋体" w:hAnsi="宋体"/>
                <w:color w:val="000000"/>
                <w:sz w:val="28"/>
              </w:rPr>
              <w:t>注册资本</w:t>
            </w:r>
          </w:p>
          <w:p>
            <w:pPr>
              <w:autoSpaceDN w:val="0"/>
              <w:jc w:val="center"/>
              <w:textAlignment w:val="center"/>
              <w:rPr>
                <w:rFonts w:ascii="宋体" w:hAnsi="宋体"/>
                <w:color w:val="000000"/>
                <w:sz w:val="28"/>
              </w:rPr>
            </w:pPr>
            <w:r>
              <w:rPr>
                <w:rFonts w:ascii="宋体" w:hAnsi="宋体"/>
                <w:color w:val="000000"/>
                <w:sz w:val="28"/>
              </w:rPr>
              <w:t>（万元）</w:t>
            </w:r>
          </w:p>
        </w:tc>
        <w:tc>
          <w:tcPr>
            <w:tcW w:w="17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8"/>
              </w:rPr>
            </w:pPr>
          </w:p>
        </w:tc>
        <w:tc>
          <w:tcPr>
            <w:tcW w:w="220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8"/>
              </w:rPr>
            </w:pPr>
            <w:r>
              <w:rPr>
                <w:rFonts w:ascii="宋体" w:hAnsi="宋体"/>
                <w:color w:val="000000"/>
                <w:sz w:val="28"/>
              </w:rPr>
              <w:t>补助资金（元）</w:t>
            </w:r>
          </w:p>
        </w:tc>
        <w:tc>
          <w:tcPr>
            <w:tcW w:w="250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3" w:hRule="atLeast"/>
        </w:trPr>
        <w:tc>
          <w:tcPr>
            <w:tcW w:w="9230" w:type="dxa"/>
            <w:gridSpan w:val="7"/>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宋体" w:hAnsi="宋体"/>
                <w:color w:val="000000"/>
                <w:sz w:val="24"/>
              </w:rPr>
            </w:pPr>
            <w:r>
              <w:rPr>
                <w:rFonts w:ascii="宋体" w:hAnsi="宋体"/>
                <w:color w:val="000000"/>
                <w:sz w:val="28"/>
              </w:rPr>
              <w:t>区</w:t>
            </w:r>
            <w:r>
              <w:rPr>
                <w:rFonts w:hint="eastAsia" w:ascii="宋体" w:hAnsi="宋体"/>
                <w:color w:val="000000"/>
                <w:sz w:val="28"/>
                <w:lang w:eastAsia="zh-CN"/>
              </w:rPr>
              <w:t>市场监督管理局</w:t>
            </w:r>
            <w:r>
              <w:rPr>
                <w:rFonts w:ascii="宋体" w:hAnsi="宋体"/>
                <w:color w:val="000000"/>
                <w:sz w:val="28"/>
              </w:rPr>
              <w:t>审核意见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56" w:hRule="atLeast"/>
        </w:trPr>
        <w:tc>
          <w:tcPr>
            <w:tcW w:w="9230" w:type="dxa"/>
            <w:gridSpan w:val="7"/>
            <w:tcBorders>
              <w:top w:val="single" w:color="auto"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color w:val="000000"/>
                <w:sz w:val="24"/>
              </w:rPr>
            </w:pPr>
            <w:r>
              <w:rPr>
                <w:rFonts w:ascii="宋体" w:hAnsi="宋体"/>
                <w:color w:val="000000"/>
                <w:sz w:val="24"/>
              </w:rPr>
              <w:br w:type="textWrapping"/>
            </w:r>
            <w:r>
              <w:rPr>
                <w:rFonts w:ascii="宋体" w:hAnsi="宋体"/>
                <w:color w:val="000000"/>
                <w:sz w:val="24"/>
              </w:rPr>
              <w:br w:type="textWrapping"/>
            </w:r>
          </w:p>
          <w:p>
            <w:pPr>
              <w:autoSpaceDN w:val="0"/>
              <w:ind w:firstLine="5280" w:firstLineChars="2200"/>
              <w:jc w:val="left"/>
              <w:textAlignment w:val="center"/>
              <w:rPr>
                <w:rFonts w:ascii="宋体" w:hAnsi="宋体"/>
                <w:color w:val="000000"/>
                <w:sz w:val="24"/>
              </w:rPr>
            </w:pPr>
          </w:p>
          <w:p>
            <w:pPr>
              <w:autoSpaceDN w:val="0"/>
              <w:ind w:firstLine="5280" w:firstLineChars="2200"/>
              <w:jc w:val="left"/>
              <w:textAlignment w:val="center"/>
              <w:rPr>
                <w:rFonts w:hint="eastAsia" w:ascii="宋体" w:hAnsi="宋体"/>
                <w:color w:val="000000"/>
                <w:sz w:val="24"/>
              </w:rPr>
            </w:pPr>
            <w:r>
              <w:rPr>
                <w:rFonts w:ascii="宋体" w:hAnsi="宋体"/>
                <w:color w:val="000000"/>
                <w:sz w:val="24"/>
              </w:rPr>
              <w:t>盖章：</w:t>
            </w:r>
          </w:p>
          <w:p>
            <w:pPr>
              <w:autoSpaceDN w:val="0"/>
              <w:jc w:val="left"/>
              <w:textAlignment w:val="center"/>
              <w:rPr>
                <w:rFonts w:hint="eastAsia"/>
                <w:color w:val="000000"/>
                <w:sz w:val="24"/>
              </w:rPr>
            </w:pPr>
            <w:r>
              <w:rPr>
                <w:color w:val="000000"/>
                <w:sz w:val="24"/>
              </w:rPr>
              <w:t xml:space="preserve"> </w:t>
            </w:r>
            <w:r>
              <w:rPr>
                <w:rFonts w:hint="eastAsia"/>
                <w:color w:val="000000"/>
                <w:sz w:val="24"/>
                <w:lang w:val="en-US" w:eastAsia="zh-CN"/>
              </w:rPr>
              <w:t xml:space="preserve"> </w:t>
            </w:r>
            <w:r>
              <w:rPr>
                <w:color w:val="000000"/>
                <w:sz w:val="24"/>
              </w:rPr>
              <w:t xml:space="preserve">              </w:t>
            </w:r>
          </w:p>
          <w:p>
            <w:pPr>
              <w:autoSpaceDN w:val="0"/>
              <w:ind w:firstLine="6000" w:firstLineChars="2500"/>
              <w:jc w:val="left"/>
              <w:textAlignment w:val="center"/>
              <w:rPr>
                <w:rFonts w:ascii="宋体" w:hAnsi="宋体"/>
                <w:color w:val="000000"/>
                <w:sz w:val="24"/>
              </w:rPr>
            </w:pPr>
            <w:r>
              <w:rPr>
                <w:color w:val="000000"/>
                <w:sz w:val="24"/>
              </w:rPr>
              <w:t xml:space="preserve"> </w:t>
            </w:r>
            <w:r>
              <w:rPr>
                <w:rFonts w:ascii="宋体" w:hAnsi="宋体"/>
                <w:color w:val="000000"/>
                <w:sz w:val="24"/>
              </w:rPr>
              <w:t>年</w:t>
            </w:r>
            <w:r>
              <w:rPr>
                <w:color w:val="000000"/>
                <w:sz w:val="24"/>
              </w:rPr>
              <w:t xml:space="preserve">     </w:t>
            </w:r>
            <w:r>
              <w:rPr>
                <w:rFonts w:ascii="宋体" w:hAnsi="宋体"/>
                <w:color w:val="000000"/>
                <w:sz w:val="24"/>
              </w:rPr>
              <w:t>月</w:t>
            </w:r>
            <w:r>
              <w:rPr>
                <w:color w:val="000000"/>
                <w:sz w:val="24"/>
              </w:rPr>
              <w:t xml:space="preserve">      </w:t>
            </w:r>
            <w:r>
              <w:rPr>
                <w:rFonts w:ascii="宋体" w:hAnsi="宋体"/>
                <w:color w:val="000000"/>
                <w:sz w:val="24"/>
              </w:rPr>
              <w:t>日</w:t>
            </w:r>
          </w:p>
        </w:tc>
      </w:tr>
    </w:tbl>
    <w:p>
      <w:pPr>
        <w:spacing w:line="560" w:lineRule="exact"/>
        <w:rPr>
          <w:rFonts w:hint="eastAsia" w:ascii="黑体" w:eastAsia="黑体"/>
          <w:sz w:val="32"/>
          <w:szCs w:val="32"/>
        </w:rPr>
      </w:pPr>
      <w:r>
        <w:rPr>
          <w:rFonts w:ascii="宋体" w:hAnsi="宋体"/>
          <w:color w:val="000000"/>
          <w:sz w:val="28"/>
        </w:rPr>
        <w:t>填表人：</w:t>
      </w:r>
      <w:r>
        <w:rPr>
          <w:rFonts w:hint="eastAsia" w:ascii="宋体" w:hAnsi="宋体"/>
          <w:color w:val="000000"/>
          <w:sz w:val="28"/>
          <w:lang w:val="en-US" w:eastAsia="zh-CN"/>
        </w:rPr>
        <w:t xml:space="preserve">        </w:t>
      </w:r>
      <w:r>
        <w:rPr>
          <w:rFonts w:ascii="宋体" w:hAnsi="宋体"/>
          <w:color w:val="000000"/>
          <w:sz w:val="28"/>
        </w:rPr>
        <w:t>联系电话：</w:t>
      </w:r>
    </w:p>
    <w:p>
      <w:pPr>
        <w:spacing w:line="560" w:lineRule="exact"/>
        <w:rPr>
          <w:rFonts w:hint="eastAsia" w:ascii="黑体" w:eastAsia="黑体"/>
          <w:sz w:val="32"/>
          <w:szCs w:val="32"/>
        </w:rPr>
      </w:pPr>
    </w:p>
    <w:p>
      <w:pPr>
        <w:spacing w:line="560" w:lineRule="exact"/>
        <w:rPr>
          <w:rFonts w:hint="eastAsia" w:ascii="黑体" w:eastAsia="黑体"/>
          <w:sz w:val="32"/>
          <w:szCs w:val="32"/>
        </w:rPr>
      </w:pPr>
      <w:r>
        <w:rPr>
          <w:rFonts w:hint="eastAsia" w:ascii="黑体" w:eastAsia="黑体"/>
          <w:sz w:val="32"/>
          <w:szCs w:val="32"/>
        </w:rPr>
        <w:t>附件2</w:t>
      </w:r>
      <w:r>
        <w:rPr>
          <w:rFonts w:hint="eastAsia" w:ascii="黑体" w:eastAsia="黑体"/>
          <w:sz w:val="32"/>
          <w:szCs w:val="32"/>
          <w:lang w:eastAsia="zh-CN"/>
        </w:rPr>
        <w:t>：</w:t>
      </w:r>
    </w:p>
    <w:p>
      <w:pPr>
        <w:spacing w:line="560" w:lineRule="exact"/>
        <w:rPr>
          <w:rFonts w:hint="eastAsia" w:ascii="黑体" w:eastAsia="黑体"/>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佛山市</w:t>
      </w:r>
      <w:r>
        <w:rPr>
          <w:rFonts w:hint="eastAsia" w:ascii="方正小标宋简体" w:eastAsia="方正小标宋简体"/>
          <w:sz w:val="44"/>
          <w:szCs w:val="44"/>
          <w:lang w:eastAsia="zh-CN"/>
        </w:rPr>
        <w:t>进一步促进</w:t>
      </w:r>
      <w:r>
        <w:rPr>
          <w:rFonts w:hint="eastAsia" w:ascii="方正小标宋简体" w:eastAsia="方正小标宋简体"/>
          <w:sz w:val="44"/>
          <w:szCs w:val="44"/>
        </w:rPr>
        <w:t>个体工商户转型升级</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奖励资金申请汇总表</w:t>
      </w:r>
    </w:p>
    <w:p>
      <w:pPr>
        <w:spacing w:line="560" w:lineRule="exact"/>
        <w:jc w:val="center"/>
        <w:rPr>
          <w:rFonts w:hint="eastAsia" w:ascii="方正小标宋简体" w:eastAsia="方正小标宋简体"/>
          <w:sz w:val="44"/>
          <w:szCs w:val="44"/>
        </w:rPr>
      </w:pPr>
    </w:p>
    <w:p>
      <w:pPr>
        <w:pStyle w:val="6"/>
        <w:spacing w:line="560" w:lineRule="exact"/>
        <w:rPr>
          <w:rFonts w:hint="eastAsia" w:ascii="宋体" w:hAnsi="宋体"/>
          <w:color w:val="000000"/>
          <w:sz w:val="28"/>
        </w:rPr>
      </w:pPr>
      <w:r>
        <w:rPr>
          <w:rFonts w:hint="eastAsia" w:ascii="宋体" w:hAnsi="宋体"/>
          <w:color w:val="000000"/>
          <w:sz w:val="28"/>
        </w:rPr>
        <w:t>区：                              填报日期：</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6"/>
        <w:gridCol w:w="1600"/>
        <w:gridCol w:w="1414"/>
        <w:gridCol w:w="1666"/>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88" w:type="dxa"/>
            <w:vAlign w:val="center"/>
          </w:tcPr>
          <w:p>
            <w:pPr>
              <w:pStyle w:val="6"/>
              <w:jc w:val="center"/>
              <w:rPr>
                <w:rFonts w:hint="eastAsia" w:ascii="宋体" w:hAnsi="宋体"/>
                <w:b/>
                <w:color w:val="000000"/>
                <w:sz w:val="32"/>
              </w:rPr>
            </w:pPr>
            <w:r>
              <w:rPr>
                <w:rFonts w:hint="eastAsia" w:ascii="宋体" w:hAnsi="宋体"/>
                <w:color w:val="000000"/>
                <w:sz w:val="28"/>
              </w:rPr>
              <w:t>序号</w:t>
            </w:r>
          </w:p>
        </w:tc>
        <w:tc>
          <w:tcPr>
            <w:tcW w:w="906" w:type="dxa"/>
            <w:vAlign w:val="center"/>
          </w:tcPr>
          <w:p>
            <w:pPr>
              <w:pStyle w:val="6"/>
              <w:jc w:val="center"/>
              <w:rPr>
                <w:rFonts w:hint="eastAsia" w:ascii="宋体" w:hAnsi="宋体" w:eastAsia="宋体"/>
                <w:b/>
                <w:color w:val="000000"/>
                <w:sz w:val="32"/>
                <w:lang w:eastAsia="zh-CN"/>
              </w:rPr>
            </w:pPr>
            <w:r>
              <w:rPr>
                <w:rFonts w:hint="eastAsia" w:ascii="宋体" w:hAnsi="宋体"/>
                <w:color w:val="000000"/>
                <w:sz w:val="28"/>
                <w:lang w:eastAsia="zh-CN"/>
              </w:rPr>
              <w:t>镇街</w:t>
            </w:r>
          </w:p>
        </w:tc>
        <w:tc>
          <w:tcPr>
            <w:tcW w:w="1600" w:type="dxa"/>
            <w:vAlign w:val="center"/>
          </w:tcPr>
          <w:p>
            <w:pPr>
              <w:pStyle w:val="6"/>
              <w:jc w:val="center"/>
              <w:rPr>
                <w:rFonts w:hint="eastAsia" w:ascii="宋体" w:hAnsi="宋体"/>
                <w:b/>
                <w:color w:val="000000"/>
                <w:sz w:val="32"/>
              </w:rPr>
            </w:pPr>
            <w:r>
              <w:rPr>
                <w:rFonts w:ascii="宋体" w:hAnsi="宋体"/>
                <w:color w:val="000000"/>
                <w:sz w:val="28"/>
              </w:rPr>
              <w:t>原个体工商户名称</w:t>
            </w:r>
          </w:p>
        </w:tc>
        <w:tc>
          <w:tcPr>
            <w:tcW w:w="1414" w:type="dxa"/>
            <w:vAlign w:val="center"/>
          </w:tcPr>
          <w:p>
            <w:pPr>
              <w:pStyle w:val="6"/>
              <w:jc w:val="center"/>
              <w:rPr>
                <w:rFonts w:hint="eastAsia" w:ascii="宋体" w:hAnsi="宋体"/>
                <w:b/>
                <w:color w:val="000000"/>
                <w:sz w:val="32"/>
              </w:rPr>
            </w:pPr>
            <w:r>
              <w:rPr>
                <w:rFonts w:ascii="宋体" w:hAnsi="宋体"/>
                <w:color w:val="000000"/>
                <w:sz w:val="28"/>
              </w:rPr>
              <w:t>企业名称</w:t>
            </w:r>
          </w:p>
        </w:tc>
        <w:tc>
          <w:tcPr>
            <w:tcW w:w="1666" w:type="dxa"/>
            <w:vAlign w:val="center"/>
          </w:tcPr>
          <w:p>
            <w:pPr>
              <w:autoSpaceDN w:val="0"/>
              <w:jc w:val="center"/>
              <w:textAlignment w:val="center"/>
              <w:rPr>
                <w:rFonts w:ascii="宋体" w:hAnsi="宋体"/>
                <w:color w:val="000000"/>
                <w:sz w:val="28"/>
              </w:rPr>
            </w:pPr>
            <w:r>
              <w:rPr>
                <w:rFonts w:ascii="宋体" w:hAnsi="宋体"/>
                <w:color w:val="000000"/>
                <w:sz w:val="28"/>
              </w:rPr>
              <w:t>注册资本</w:t>
            </w:r>
          </w:p>
          <w:p>
            <w:pPr>
              <w:pStyle w:val="6"/>
              <w:jc w:val="center"/>
              <w:rPr>
                <w:rFonts w:hint="eastAsia" w:ascii="宋体" w:hAnsi="宋体"/>
                <w:b/>
                <w:color w:val="000000"/>
                <w:sz w:val="32"/>
              </w:rPr>
            </w:pPr>
            <w:r>
              <w:rPr>
                <w:rFonts w:ascii="宋体" w:hAnsi="宋体"/>
                <w:color w:val="000000"/>
                <w:sz w:val="28"/>
              </w:rPr>
              <w:t>（万元）</w:t>
            </w:r>
          </w:p>
        </w:tc>
        <w:tc>
          <w:tcPr>
            <w:tcW w:w="1746" w:type="dxa"/>
            <w:vAlign w:val="center"/>
          </w:tcPr>
          <w:p>
            <w:pPr>
              <w:pStyle w:val="6"/>
              <w:jc w:val="center"/>
              <w:rPr>
                <w:rFonts w:hint="eastAsia" w:ascii="宋体" w:hAnsi="宋体"/>
                <w:color w:val="000000"/>
                <w:sz w:val="28"/>
              </w:rPr>
            </w:pPr>
            <w:r>
              <w:rPr>
                <w:rFonts w:hint="eastAsia" w:ascii="宋体" w:hAnsi="宋体"/>
                <w:color w:val="000000"/>
                <w:sz w:val="28"/>
              </w:rPr>
              <w:t>奖励</w:t>
            </w:r>
            <w:r>
              <w:rPr>
                <w:rFonts w:ascii="宋体" w:hAnsi="宋体"/>
                <w:color w:val="000000"/>
                <w:sz w:val="28"/>
              </w:rPr>
              <w:t>资金（元）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88" w:type="dxa"/>
            <w:vAlign w:val="top"/>
          </w:tcPr>
          <w:p>
            <w:pPr>
              <w:pStyle w:val="6"/>
              <w:rPr>
                <w:rFonts w:hint="eastAsia" w:ascii="宋体" w:hAnsi="宋体"/>
                <w:b/>
                <w:color w:val="000000"/>
                <w:sz w:val="32"/>
              </w:rPr>
            </w:pPr>
          </w:p>
        </w:tc>
        <w:tc>
          <w:tcPr>
            <w:tcW w:w="906" w:type="dxa"/>
            <w:vAlign w:val="top"/>
          </w:tcPr>
          <w:p>
            <w:pPr>
              <w:pStyle w:val="6"/>
              <w:rPr>
                <w:rFonts w:hint="eastAsia" w:ascii="宋体" w:hAnsi="宋体"/>
                <w:b/>
                <w:color w:val="000000"/>
                <w:sz w:val="32"/>
              </w:rPr>
            </w:pPr>
          </w:p>
        </w:tc>
        <w:tc>
          <w:tcPr>
            <w:tcW w:w="1600" w:type="dxa"/>
            <w:vAlign w:val="top"/>
          </w:tcPr>
          <w:p>
            <w:pPr>
              <w:pStyle w:val="6"/>
              <w:rPr>
                <w:rFonts w:hint="eastAsia" w:ascii="宋体" w:hAnsi="宋体"/>
                <w:b/>
                <w:color w:val="000000"/>
                <w:sz w:val="32"/>
              </w:rPr>
            </w:pPr>
          </w:p>
        </w:tc>
        <w:tc>
          <w:tcPr>
            <w:tcW w:w="1414" w:type="dxa"/>
            <w:vAlign w:val="top"/>
          </w:tcPr>
          <w:p>
            <w:pPr>
              <w:pStyle w:val="6"/>
              <w:rPr>
                <w:rFonts w:hint="eastAsia" w:ascii="宋体" w:hAnsi="宋体"/>
                <w:b/>
                <w:color w:val="000000"/>
                <w:sz w:val="32"/>
              </w:rPr>
            </w:pPr>
          </w:p>
        </w:tc>
        <w:tc>
          <w:tcPr>
            <w:tcW w:w="1666" w:type="dxa"/>
            <w:vAlign w:val="top"/>
          </w:tcPr>
          <w:p>
            <w:pPr>
              <w:pStyle w:val="6"/>
              <w:rPr>
                <w:rFonts w:hint="eastAsia" w:ascii="宋体" w:hAnsi="宋体"/>
                <w:b/>
                <w:color w:val="000000"/>
                <w:sz w:val="32"/>
              </w:rPr>
            </w:pPr>
          </w:p>
        </w:tc>
        <w:tc>
          <w:tcPr>
            <w:tcW w:w="1746" w:type="dxa"/>
            <w:vAlign w:val="top"/>
          </w:tcPr>
          <w:p>
            <w:pPr>
              <w:pStyle w:val="6"/>
              <w:rPr>
                <w:rFonts w:hint="eastAsia" w:ascii="宋体" w:hAnsi="宋体"/>
                <w:b/>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88" w:type="dxa"/>
            <w:vAlign w:val="top"/>
          </w:tcPr>
          <w:p>
            <w:pPr>
              <w:pStyle w:val="6"/>
              <w:rPr>
                <w:rFonts w:hint="eastAsia" w:ascii="宋体" w:hAnsi="宋体"/>
                <w:b/>
                <w:color w:val="000000"/>
                <w:sz w:val="32"/>
              </w:rPr>
            </w:pPr>
          </w:p>
        </w:tc>
        <w:tc>
          <w:tcPr>
            <w:tcW w:w="906" w:type="dxa"/>
            <w:vAlign w:val="top"/>
          </w:tcPr>
          <w:p>
            <w:pPr>
              <w:pStyle w:val="6"/>
              <w:rPr>
                <w:rFonts w:hint="eastAsia" w:ascii="宋体" w:hAnsi="宋体"/>
                <w:b/>
                <w:color w:val="000000"/>
                <w:sz w:val="32"/>
              </w:rPr>
            </w:pPr>
          </w:p>
        </w:tc>
        <w:tc>
          <w:tcPr>
            <w:tcW w:w="1600" w:type="dxa"/>
            <w:vAlign w:val="top"/>
          </w:tcPr>
          <w:p>
            <w:pPr>
              <w:pStyle w:val="6"/>
              <w:rPr>
                <w:rFonts w:hint="eastAsia" w:ascii="宋体" w:hAnsi="宋体"/>
                <w:b/>
                <w:color w:val="000000"/>
                <w:sz w:val="32"/>
              </w:rPr>
            </w:pPr>
          </w:p>
        </w:tc>
        <w:tc>
          <w:tcPr>
            <w:tcW w:w="1414" w:type="dxa"/>
            <w:vAlign w:val="top"/>
          </w:tcPr>
          <w:p>
            <w:pPr>
              <w:pStyle w:val="6"/>
              <w:rPr>
                <w:rFonts w:hint="eastAsia" w:ascii="宋体" w:hAnsi="宋体"/>
                <w:b/>
                <w:color w:val="000000"/>
                <w:sz w:val="32"/>
              </w:rPr>
            </w:pPr>
          </w:p>
        </w:tc>
        <w:tc>
          <w:tcPr>
            <w:tcW w:w="1666" w:type="dxa"/>
            <w:vAlign w:val="top"/>
          </w:tcPr>
          <w:p>
            <w:pPr>
              <w:pStyle w:val="6"/>
              <w:rPr>
                <w:rFonts w:hint="eastAsia" w:ascii="宋体" w:hAnsi="宋体"/>
                <w:b/>
                <w:color w:val="000000"/>
                <w:sz w:val="32"/>
              </w:rPr>
            </w:pPr>
          </w:p>
        </w:tc>
        <w:tc>
          <w:tcPr>
            <w:tcW w:w="1746" w:type="dxa"/>
            <w:vAlign w:val="top"/>
          </w:tcPr>
          <w:p>
            <w:pPr>
              <w:pStyle w:val="6"/>
              <w:rPr>
                <w:rFonts w:hint="eastAsia" w:ascii="宋体" w:hAnsi="宋体"/>
                <w:b/>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188" w:type="dxa"/>
            <w:vAlign w:val="top"/>
          </w:tcPr>
          <w:p>
            <w:pPr>
              <w:pStyle w:val="6"/>
              <w:rPr>
                <w:rFonts w:hint="eastAsia" w:ascii="宋体" w:hAnsi="宋体"/>
                <w:b/>
                <w:color w:val="000000"/>
                <w:sz w:val="32"/>
              </w:rPr>
            </w:pPr>
          </w:p>
        </w:tc>
        <w:tc>
          <w:tcPr>
            <w:tcW w:w="906" w:type="dxa"/>
            <w:vAlign w:val="top"/>
          </w:tcPr>
          <w:p>
            <w:pPr>
              <w:pStyle w:val="6"/>
              <w:rPr>
                <w:rFonts w:hint="eastAsia" w:ascii="宋体" w:hAnsi="宋体"/>
                <w:b/>
                <w:color w:val="000000"/>
                <w:sz w:val="32"/>
              </w:rPr>
            </w:pPr>
          </w:p>
        </w:tc>
        <w:tc>
          <w:tcPr>
            <w:tcW w:w="1600" w:type="dxa"/>
            <w:vAlign w:val="top"/>
          </w:tcPr>
          <w:p>
            <w:pPr>
              <w:pStyle w:val="6"/>
              <w:rPr>
                <w:rFonts w:hint="eastAsia" w:ascii="宋体" w:hAnsi="宋体"/>
                <w:b/>
                <w:color w:val="000000"/>
                <w:sz w:val="32"/>
              </w:rPr>
            </w:pPr>
          </w:p>
        </w:tc>
        <w:tc>
          <w:tcPr>
            <w:tcW w:w="1414" w:type="dxa"/>
            <w:vAlign w:val="top"/>
          </w:tcPr>
          <w:p>
            <w:pPr>
              <w:pStyle w:val="6"/>
              <w:rPr>
                <w:rFonts w:hint="eastAsia" w:ascii="宋体" w:hAnsi="宋体"/>
                <w:b/>
                <w:color w:val="000000"/>
                <w:sz w:val="32"/>
              </w:rPr>
            </w:pPr>
          </w:p>
        </w:tc>
        <w:tc>
          <w:tcPr>
            <w:tcW w:w="1666" w:type="dxa"/>
            <w:vAlign w:val="top"/>
          </w:tcPr>
          <w:p>
            <w:pPr>
              <w:pStyle w:val="6"/>
              <w:rPr>
                <w:rFonts w:hint="eastAsia" w:ascii="宋体" w:hAnsi="宋体"/>
                <w:b/>
                <w:color w:val="000000"/>
                <w:sz w:val="32"/>
              </w:rPr>
            </w:pPr>
          </w:p>
        </w:tc>
        <w:tc>
          <w:tcPr>
            <w:tcW w:w="1746" w:type="dxa"/>
            <w:vAlign w:val="top"/>
          </w:tcPr>
          <w:p>
            <w:pPr>
              <w:pStyle w:val="6"/>
              <w:rPr>
                <w:rFonts w:hint="eastAsia" w:ascii="宋体" w:hAnsi="宋体"/>
                <w:b/>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1188" w:type="dxa"/>
            <w:vAlign w:val="top"/>
          </w:tcPr>
          <w:p>
            <w:pPr>
              <w:pStyle w:val="6"/>
              <w:rPr>
                <w:rFonts w:hint="eastAsia" w:ascii="宋体" w:hAnsi="宋体" w:eastAsia="宋体"/>
                <w:b/>
                <w:color w:val="000000"/>
                <w:sz w:val="32"/>
                <w:lang w:eastAsia="zh-CN"/>
              </w:rPr>
            </w:pPr>
            <w:r>
              <w:rPr>
                <w:rFonts w:hint="eastAsia" w:ascii="宋体" w:hAnsi="宋体"/>
                <w:color w:val="000000"/>
                <w:sz w:val="28"/>
                <w:lang w:eastAsia="zh-CN"/>
              </w:rPr>
              <w:t>总金额</w:t>
            </w:r>
          </w:p>
        </w:tc>
        <w:tc>
          <w:tcPr>
            <w:tcW w:w="906" w:type="dxa"/>
            <w:vAlign w:val="top"/>
            <mc:AlternateContent>
              <mc:Choice Requires="wpsCustomData">
                <wpsCustomData:diagonals>
                  <wpsCustomData:diagonal from="10000" to="30000">
                    <wpsCustomData:border w:val="single" w:color="auto" w:sz="4" w:space="0"/>
                  </wpsCustomData:diagonal>
                </wpsCustomData:diagonals>
              </mc:Choice>
            </mc:AlternateContent>
          </w:tcPr>
          <w:p>
            <w:pPr>
              <w:pStyle w:val="6"/>
              <w:snapToGrid w:val="0"/>
              <w:spacing w:line="240" w:lineRule="auto"/>
              <mc:AlternateContent>
                <mc:Choice Requires="wpsCustomData">
                  <wpsCustomData:diagonalParaType/>
                </mc:Choice>
              </mc:AlternateContent>
              <w:rPr>
                <w:rFonts w:hint="eastAsia" w:ascii="宋体" w:hAnsi="宋体"/>
                <w:b/>
                <w:color w:val="000000"/>
                <w:sz w:val="32"/>
              </w:rPr>
            </w:pPr>
          </w:p>
          <w:p>
            <w:pPr>
              <w:pStyle w:val="6"/>
              <w:rPr>
                <w:rFonts w:hint="eastAsia" w:ascii="宋体" w:hAnsi="宋体"/>
                <w:b/>
                <w:color w:val="000000"/>
                <w:sz w:val="32"/>
              </w:rPr>
            </w:pPr>
          </w:p>
        </w:tc>
        <w:tc>
          <w:tcPr>
            <w:tcW w:w="1600" w:type="dxa"/>
            <w:vAlign w:val="top"/>
            <mc:AlternateContent>
              <mc:Choice Requires="wpsCustomData">
                <wpsCustomData:diagonals>
                  <wpsCustomData:diagonal from="10000" to="30000">
                    <wpsCustomData:border w:val="single" w:color="auto" w:sz="4" w:space="0"/>
                  </wpsCustomData:diagonal>
                </wpsCustomData:diagonals>
              </mc:Choice>
            </mc:AlternateContent>
          </w:tcPr>
          <w:p>
            <w:pPr>
              <w:pStyle w:val="6"/>
              <w:snapToGrid w:val="0"/>
              <w:spacing w:line="240" w:lineRule="auto"/>
              <mc:AlternateContent>
                <mc:Choice Requires="wpsCustomData">
                  <wpsCustomData:diagonalParaType/>
                </mc:Choice>
              </mc:AlternateContent>
              <w:rPr>
                <w:rFonts w:hint="eastAsia" w:ascii="宋体" w:hAnsi="宋体"/>
                <w:b/>
                <w:color w:val="000000"/>
                <w:sz w:val="32"/>
              </w:rPr>
            </w:pPr>
          </w:p>
          <w:p>
            <w:pPr>
              <w:pStyle w:val="6"/>
              <w:rPr>
                <w:rFonts w:hint="eastAsia" w:ascii="宋体" w:hAnsi="宋体"/>
                <w:b/>
                <w:color w:val="000000"/>
                <w:sz w:val="32"/>
              </w:rPr>
            </w:pPr>
          </w:p>
        </w:tc>
        <w:tc>
          <w:tcPr>
            <w:tcW w:w="1414" w:type="dxa"/>
            <w:vAlign w:val="top"/>
            <mc:AlternateContent>
              <mc:Choice Requires="wpsCustomData">
                <wpsCustomData:diagonals>
                  <wpsCustomData:diagonal from="10000" to="30000">
                    <wpsCustomData:border w:val="single" w:color="auto" w:sz="4" w:space="0"/>
                  </wpsCustomData:diagonal>
                </wpsCustomData:diagonals>
              </mc:Choice>
            </mc:AlternateContent>
          </w:tcPr>
          <w:p>
            <w:pPr>
              <w:pStyle w:val="6"/>
              <w:snapToGrid w:val="0"/>
              <w:spacing w:line="240" w:lineRule="auto"/>
              <mc:AlternateContent>
                <mc:Choice Requires="wpsCustomData">
                  <wpsCustomData:diagonalParaType/>
                </mc:Choice>
              </mc:AlternateContent>
              <w:rPr>
                <w:rFonts w:hint="eastAsia" w:ascii="宋体" w:hAnsi="宋体"/>
                <w:b/>
                <w:color w:val="000000"/>
                <w:sz w:val="32"/>
              </w:rPr>
            </w:pPr>
          </w:p>
          <w:p>
            <w:pPr>
              <w:pStyle w:val="6"/>
              <w:rPr>
                <w:rFonts w:hint="eastAsia" w:ascii="宋体" w:hAnsi="宋体"/>
                <w:b/>
                <w:color w:val="000000"/>
                <w:sz w:val="32"/>
              </w:rPr>
            </w:pPr>
          </w:p>
        </w:tc>
        <w:tc>
          <w:tcPr>
            <w:tcW w:w="1666" w:type="dxa"/>
            <w:vAlign w:val="top"/>
            <mc:AlternateContent>
              <mc:Choice Requires="wpsCustomData">
                <wpsCustomData:diagonals>
                  <wpsCustomData:diagonal from="10000" to="30000">
                    <wpsCustomData:border w:val="single" w:color="auto" w:sz="4" w:space="0"/>
                  </wpsCustomData:diagonal>
                </wpsCustomData:diagonals>
              </mc:Choice>
            </mc:AlternateContent>
          </w:tcPr>
          <w:p>
            <w:pPr>
              <w:pStyle w:val="6"/>
              <w:snapToGrid w:val="0"/>
              <w:spacing w:line="240" w:lineRule="auto"/>
              <mc:AlternateContent>
                <mc:Choice Requires="wpsCustomData">
                  <wpsCustomData:diagonalParaType/>
                </mc:Choice>
              </mc:AlternateContent>
              <w:rPr>
                <w:rFonts w:hint="eastAsia" w:ascii="宋体" w:hAnsi="宋体"/>
                <w:b/>
                <w:color w:val="000000"/>
                <w:sz w:val="32"/>
              </w:rPr>
            </w:pPr>
          </w:p>
          <w:p>
            <w:pPr>
              <w:pStyle w:val="6"/>
              <w:rPr>
                <w:rFonts w:hint="eastAsia" w:ascii="宋体" w:hAnsi="宋体"/>
                <w:b/>
                <w:color w:val="000000"/>
                <w:sz w:val="32"/>
              </w:rPr>
            </w:pPr>
          </w:p>
        </w:tc>
        <w:tc>
          <w:tcPr>
            <w:tcW w:w="1746" w:type="dxa"/>
            <w:vAlign w:val="top"/>
          </w:tcPr>
          <w:p>
            <w:pPr>
              <w:pStyle w:val="6"/>
              <w:rPr>
                <w:rFonts w:hint="eastAsia" w:ascii="宋体" w:hAnsi="宋体"/>
                <w:b/>
                <w:color w:val="000000"/>
                <w:sz w:val="32"/>
              </w:rPr>
            </w:pPr>
          </w:p>
        </w:tc>
      </w:tr>
    </w:tbl>
    <w:p>
      <w:pPr>
        <w:pStyle w:val="6"/>
        <w:rPr>
          <w:rFonts w:hint="eastAsia" w:ascii="宋体" w:hAnsi="宋体"/>
          <w:color w:val="000000"/>
          <w:kern w:val="2"/>
          <w:sz w:val="28"/>
          <w:szCs w:val="24"/>
        </w:rPr>
      </w:pPr>
      <w:r>
        <w:rPr>
          <w:rFonts w:hint="eastAsia" w:ascii="宋体" w:hAnsi="宋体"/>
          <w:color w:val="000000"/>
          <w:kern w:val="2"/>
          <w:sz w:val="28"/>
          <w:szCs w:val="24"/>
          <w:lang w:eastAsia="zh-CN"/>
        </w:rPr>
        <w:t>区市场监督管理</w:t>
      </w:r>
      <w:r>
        <w:rPr>
          <w:rFonts w:hint="eastAsia" w:ascii="宋体" w:hAnsi="宋体"/>
          <w:color w:val="000000"/>
          <w:kern w:val="2"/>
          <w:sz w:val="28"/>
          <w:szCs w:val="24"/>
        </w:rPr>
        <w:t xml:space="preserve">局（盖章）：                </w:t>
      </w:r>
    </w:p>
    <w:p>
      <w:pPr>
        <w:spacing w:line="560" w:lineRule="exact"/>
        <w:rPr>
          <w:rFonts w:hint="eastAsia" w:ascii="仿宋_GB2312" w:eastAsia="仿宋_GB2312"/>
          <w:sz w:val="32"/>
          <w:szCs w:val="32"/>
        </w:rPr>
      </w:pPr>
    </w:p>
    <w:p/>
    <w:p>
      <w:pPr>
        <w:pStyle w:val="3"/>
        <w:keepNext w:val="0"/>
        <w:keepLines w:val="0"/>
        <w:widowControl/>
        <w:suppressLineNumbers w:val="0"/>
        <w:spacing w:before="0" w:beforeAutospacing="0" w:after="0" w:afterAutospacing="0" w:line="12" w:lineRule="atLeast"/>
        <w:jc w:val="left"/>
        <w:rPr>
          <w:rFonts w:hint="eastAsia" w:ascii="仿宋_GB2312"/>
          <w:szCs w:val="30"/>
        </w:rPr>
      </w:pPr>
    </w:p>
    <w:p/>
    <w:p>
      <w:pPr>
        <w:rPr>
          <w:rFonts w:hint="eastAsia" w:ascii="仿宋_GB2312"/>
          <w:szCs w:val="30"/>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44B03"/>
    <w:multiLevelType w:val="singleLevel"/>
    <w:tmpl w:val="5C244B03"/>
    <w:lvl w:ilvl="0" w:tentative="0">
      <w:start w:val="2"/>
      <w:numFmt w:val="decimal"/>
      <w:suff w:val="nothing"/>
      <w:lvlText w:val="%1."/>
      <w:lvlJc w:val="left"/>
    </w:lvl>
  </w:abstractNum>
  <w:abstractNum w:abstractNumId="1">
    <w:nsid w:val="5C244BB9"/>
    <w:multiLevelType w:val="singleLevel"/>
    <w:tmpl w:val="5C244BB9"/>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82A6B"/>
    <w:rsid w:val="10682A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0"/>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Calibri" w:hAnsi="Calibri" w:eastAsia="宋体" w:cs="黑体"/>
      <w:kern w:val="2"/>
      <w:sz w:val="24"/>
      <w:szCs w:val="22"/>
      <w:lang w:val="en-US" w:eastAsia="zh-CN" w:bidi="ar-SA"/>
    </w:rPr>
  </w:style>
  <w:style w:type="paragraph" w:styleId="3">
    <w:name w:val="Normal (Web)"/>
    <w:basedOn w:val="1"/>
    <w:uiPriority w:val="0"/>
    <w:pPr>
      <w:spacing w:before="0" w:beforeAutospacing="0" w:after="0" w:afterAutospacing="0"/>
      <w:ind w:left="0" w:right="0"/>
      <w:jc w:val="left"/>
    </w:pPr>
    <w:rPr>
      <w:kern w:val="0"/>
      <w:sz w:val="24"/>
      <w:lang w:val="en-US" w:eastAsia="zh-CN" w:bidi="ar"/>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市质量技术监督局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2019-06-20T02:50:00Z</dcterms:created>
  <dc:creator>郭子宁</dc:creator>
  <cp:lastModifiedBy>郭子宁</cp:lastModifiedBy>
  <dcterms:modified xsi:type="dcterms:W3CDTF">2019-06-20T02:51:10Z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