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知识产权交易运营促进项目申报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bookmarkEnd w:id="0"/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知识产权交易运营促进项目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营造良好的知识产权创新创造氛围，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auto"/>
        </w:rPr>
        <w:t>建设知识产权运营平台，对于扩大高价值知识产权运营转化和创新要素有效供给，加速创新资源流转和优化配置，大力推进知识产权创造、保护和运用，扎实推进知识产权运营服务体系建设。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、项目任务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引进或培育知识产权交易运营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平台。依托以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知识产权交易运营与金融融合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的运营平台，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结合佛山产业实际，建立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转化和技术转移等服务的供求资源数据库。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积极通过实施许可、转让、作价入股、质押融资、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知识产权保险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等多种方式推动高价值知识产权转化运营，提升运营效能。项目实施期内，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专利运营交易额增长5%以上。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佛山市内从事知识产权交易运营的平台，符合以下基本条件：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具有独立法人资格，有固定经营场所，专业从事知识产权交易运营工作人员在10人以上，有稳定服务对象。有较独立、完善的知识产权运营体系，拥有知识产权运营成功案例，知识产权运营业务占总业务量的70%以上。国家、省级重点知识产权交易平台、专利运营试点企业可适当放宽申报条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（一）《知识产权交易运营促进项目申报书》（见附件）；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（二）机构法人资格证书或营业执照加盖公章的复印件；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（三）近两年的财务报表；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（四）知识产权服务流程、模式及制度；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（五）人员资格证明；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（六）机构所获荣誉证明；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（七）其他证明符合申报条件的材料。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六、实施周期及支持方式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项目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实施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周期为一年</w:t>
      </w:r>
      <w:r>
        <w:rPr>
          <w:rFonts w:hint="eastAsia" w:ascii="仿宋_GB2312" w:hAnsi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，项目支持30万。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合同管理：项目立项后，市市场监管局与承担单位签署项目合同书，作为项目管理的重要依据。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auto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项目验收：项目完成后，项目承担单位应及时总结并申请验收，向市市场监管局报送工作成果，由市市场监管局组织验收通过后，方可结项。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shd w:val="clear" w:color="auto" w:fill="auto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附件2-1</w:t>
      </w: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ind w:left="-264" w:leftChars="-88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知识产权交易运营促进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A30FE"/>
    <w:rsid w:val="6A2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2020-05-09T01:33:00Z</dcterms:created>
  <dc:creator>WPS_1465523224</dc:creator>
  <cp:lastModifiedBy>WPS_1465523224</cp:lastModifiedBy>
  <dcterms:modified xsi:type="dcterms:W3CDTF">2020-05-09T01:34:07Z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