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rPr>
          <w:rFonts w:hint="eastAsia" w:ascii="黑体" w:hAnsi="黑体" w:eastAsia="黑体" w:cs="黑体"/>
          <w:color w:val="auto"/>
          <w:kern w:val="21"/>
          <w:sz w:val="32"/>
          <w:szCs w:val="32"/>
          <w:lang w:eastAsia="zh-CN"/>
        </w:rPr>
      </w:pPr>
      <w:r>
        <w:rPr>
          <w:rFonts w:hint="eastAsia" w:ascii="黑体" w:hAnsi="黑体" w:eastAsia="黑体" w:cs="黑体"/>
          <w:color w:val="auto"/>
          <w:kern w:val="21"/>
          <w:sz w:val="32"/>
          <w:szCs w:val="32"/>
          <w:lang w:eastAsia="zh-CN"/>
        </w:rPr>
        <w:t>附件</w:t>
      </w:r>
    </w:p>
    <w:p>
      <w:pPr>
        <w:spacing w:beforeLines="0" w:afterLines="0" w:line="560" w:lineRule="exact"/>
        <w:jc w:val="left"/>
        <w:rPr>
          <w:rFonts w:hint="eastAsia" w:ascii="方正小标宋简体" w:hAnsi="方正小标宋简体" w:eastAsia="方正小标宋简体" w:cs="方正小标宋简体"/>
          <w:kern w:val="21"/>
          <w:sz w:val="44"/>
          <w:szCs w:val="44"/>
          <w:lang w:eastAsia="zh-CN"/>
        </w:rPr>
      </w:pPr>
    </w:p>
    <w:p>
      <w:pPr>
        <w:spacing w:beforeLines="0" w:afterLines="0" w:line="560" w:lineRule="exact"/>
        <w:jc w:val="center"/>
        <w:rPr>
          <w:rFonts w:hint="eastAsia" w:ascii="方正小标宋简体" w:hAnsi="方正小标宋简体" w:eastAsia="方正小标宋简体" w:cs="方正小标宋简体"/>
          <w:kern w:val="21"/>
          <w:sz w:val="44"/>
          <w:szCs w:val="44"/>
        </w:rPr>
      </w:pPr>
      <w:r>
        <w:rPr>
          <w:rFonts w:hint="eastAsia" w:ascii="方正小标宋简体" w:hAnsi="方正小标宋简体" w:eastAsia="方正小标宋简体" w:cs="方正小标宋简体"/>
          <w:kern w:val="21"/>
          <w:sz w:val="44"/>
          <w:szCs w:val="44"/>
          <w:lang w:eastAsia="zh-CN"/>
        </w:rPr>
        <w:t>佛山市南海区</w:t>
      </w:r>
      <w:r>
        <w:rPr>
          <w:rFonts w:hint="eastAsia" w:ascii="方正小标宋简体" w:hAnsi="方正小标宋简体" w:eastAsia="方正小标宋简体" w:cs="方正小标宋简体"/>
          <w:kern w:val="21"/>
          <w:sz w:val="44"/>
          <w:szCs w:val="44"/>
        </w:rPr>
        <w:t>创建</w:t>
      </w:r>
      <w:r>
        <w:rPr>
          <w:rFonts w:hint="eastAsia" w:ascii="方正小标宋简体" w:hAnsi="方正小标宋简体" w:eastAsia="方正小标宋简体" w:cs="方正小标宋简体"/>
          <w:kern w:val="21"/>
          <w:sz w:val="44"/>
          <w:szCs w:val="44"/>
          <w:lang w:eastAsia="zh-CN"/>
        </w:rPr>
        <w:t>广东省</w:t>
      </w:r>
      <w:r>
        <w:rPr>
          <w:rFonts w:hint="eastAsia" w:ascii="方正小标宋简体" w:hAnsi="方正小标宋简体" w:eastAsia="方正小标宋简体" w:cs="方正小标宋简体"/>
          <w:kern w:val="21"/>
          <w:sz w:val="44"/>
          <w:szCs w:val="44"/>
        </w:rPr>
        <w:t>食品安全</w:t>
      </w:r>
    </w:p>
    <w:p>
      <w:pPr>
        <w:spacing w:beforeLines="0" w:afterLines="0" w:line="560" w:lineRule="exact"/>
        <w:jc w:val="center"/>
        <w:rPr>
          <w:rFonts w:hint="eastAsia" w:ascii="方正小标宋简体" w:hAnsi="方正小标宋简体" w:eastAsia="方正小标宋简体" w:cs="方正小标宋简体"/>
          <w:kern w:val="21"/>
          <w:sz w:val="44"/>
          <w:szCs w:val="44"/>
          <w:lang w:eastAsia="zh-CN"/>
        </w:rPr>
      </w:pPr>
      <w:r>
        <w:rPr>
          <w:rFonts w:hint="eastAsia" w:ascii="方正小标宋简体" w:hAnsi="方正小标宋简体" w:eastAsia="方正小标宋简体" w:cs="方正小标宋简体"/>
          <w:kern w:val="21"/>
          <w:sz w:val="44"/>
          <w:szCs w:val="44"/>
        </w:rPr>
        <w:t>示范</w:t>
      </w:r>
      <w:r>
        <w:rPr>
          <w:rFonts w:hint="eastAsia" w:ascii="方正小标宋简体" w:hAnsi="方正小标宋简体" w:eastAsia="方正小标宋简体" w:cs="方正小标宋简体"/>
          <w:kern w:val="21"/>
          <w:sz w:val="44"/>
          <w:szCs w:val="44"/>
          <w:lang w:eastAsia="zh-CN"/>
        </w:rPr>
        <w:t>区市</w:t>
      </w:r>
      <w:r>
        <w:rPr>
          <w:rFonts w:hint="eastAsia" w:ascii="方正小标宋简体" w:hAnsi="方正小标宋简体" w:eastAsia="方正小标宋简体" w:cs="方正小标宋简体"/>
          <w:kern w:val="21"/>
          <w:sz w:val="44"/>
          <w:szCs w:val="44"/>
        </w:rPr>
        <w:t>级初评</w:t>
      </w:r>
      <w:r>
        <w:rPr>
          <w:rFonts w:hint="eastAsia" w:ascii="方正小标宋简体" w:hAnsi="方正小标宋简体" w:eastAsia="方正小标宋简体" w:cs="方正小标宋简体"/>
          <w:kern w:val="21"/>
          <w:sz w:val="44"/>
          <w:szCs w:val="44"/>
          <w:lang w:eastAsia="zh-CN"/>
        </w:rPr>
        <w:t>情况</w:t>
      </w:r>
    </w:p>
    <w:p>
      <w:pPr>
        <w:spacing w:beforeLines="0" w:afterLines="0" w:line="560" w:lineRule="exact"/>
        <w:rPr>
          <w:rFonts w:ascii="Times New Roman" w:hAnsi="Times New Roman" w:eastAsia="仿宋_GB2312" w:cs="Times New Roman"/>
          <w:kern w:val="21"/>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_GB2312" w:cs="Times New Roman"/>
          <w:kern w:val="21"/>
          <w:sz w:val="32"/>
          <w:szCs w:val="32"/>
        </w:rPr>
      </w:pPr>
      <w:r>
        <w:rPr>
          <w:rFonts w:hint="eastAsia" w:ascii="仿宋_GB2312" w:hAnsi="仿宋_GB2312" w:eastAsia="仿宋_GB2312" w:cs="仿宋_GB2312"/>
          <w:kern w:val="21"/>
          <w:sz w:val="32"/>
          <w:szCs w:val="32"/>
          <w:lang w:val="en-US" w:eastAsia="zh-CN"/>
        </w:rPr>
        <w:t>根据《广东省食品药品安全与高质量发展委员会办公室关于印发</w:t>
      </w:r>
      <w:r>
        <w:rPr>
          <w:rFonts w:hint="eastAsia" w:ascii="Times New Roman" w:hAnsi="Times New Roman" w:eastAsia="仿宋_GB2312" w:cs="Times New Roman"/>
          <w:kern w:val="21"/>
          <w:sz w:val="32"/>
          <w:szCs w:val="32"/>
        </w:rPr>
        <w:t>广东省食品安全示范城市（县）评估验收工作方案</w:t>
      </w:r>
      <w:r>
        <w:rPr>
          <w:rFonts w:hint="eastAsia" w:ascii="仿宋_GB2312" w:hAnsi="仿宋_GB2312" w:eastAsia="仿宋_GB2312" w:cs="仿宋_GB2312"/>
          <w:kern w:val="21"/>
          <w:sz w:val="32"/>
          <w:szCs w:val="32"/>
          <w:lang w:val="en-US" w:eastAsia="zh-CN"/>
        </w:rPr>
        <w:t>的通知》（粤食药安办〔2022〕23号）</w:t>
      </w:r>
      <w:r>
        <w:rPr>
          <w:rFonts w:hint="eastAsia" w:ascii="仿宋_GB2312" w:hAnsi="仿宋_GB2312" w:eastAsia="仿宋_GB2312" w:cs="仿宋_GB2312"/>
          <w:kern w:val="21"/>
          <w:sz w:val="32"/>
          <w:szCs w:val="32"/>
        </w:rPr>
        <w:t>，</w:t>
      </w:r>
      <w:r>
        <w:rPr>
          <w:rFonts w:hint="eastAsia" w:ascii="仿宋_GB2312" w:hAnsi="仿宋_GB2312" w:eastAsia="仿宋_GB2312" w:cs="仿宋_GB2312"/>
          <w:kern w:val="21"/>
          <w:sz w:val="32"/>
          <w:szCs w:val="32"/>
          <w:lang w:eastAsia="zh-CN"/>
        </w:rPr>
        <w:t>南海区</w:t>
      </w:r>
      <w:r>
        <w:rPr>
          <w:rFonts w:hint="eastAsia" w:ascii="仿宋_GB2312" w:hAnsi="仿宋_GB2312" w:eastAsia="仿宋_GB2312" w:cs="仿宋_GB2312"/>
          <w:kern w:val="21"/>
          <w:sz w:val="32"/>
          <w:szCs w:val="32"/>
        </w:rPr>
        <w:t>人民政府进行了全面自查，并向</w:t>
      </w:r>
      <w:r>
        <w:rPr>
          <w:rFonts w:hint="eastAsia" w:ascii="仿宋_GB2312" w:hAnsi="仿宋_GB2312" w:eastAsia="仿宋_GB2312" w:cs="仿宋_GB2312"/>
          <w:kern w:val="21"/>
          <w:sz w:val="32"/>
          <w:szCs w:val="32"/>
          <w:lang w:eastAsia="zh-CN"/>
        </w:rPr>
        <w:t>市食品安全委员会（以下简称“市</w:t>
      </w:r>
      <w:r>
        <w:rPr>
          <w:rFonts w:hint="eastAsia" w:ascii="仿宋_GB2312" w:hAnsi="仿宋_GB2312" w:eastAsia="仿宋_GB2312" w:cs="仿宋_GB2312"/>
          <w:kern w:val="21"/>
          <w:sz w:val="32"/>
          <w:szCs w:val="32"/>
        </w:rPr>
        <w:t>食安</w:t>
      </w:r>
      <w:r>
        <w:rPr>
          <w:rFonts w:hint="eastAsia" w:ascii="仿宋_GB2312" w:hAnsi="仿宋_GB2312" w:eastAsia="仿宋_GB2312" w:cs="仿宋_GB2312"/>
          <w:kern w:val="21"/>
          <w:sz w:val="32"/>
          <w:szCs w:val="32"/>
          <w:lang w:eastAsia="zh-CN"/>
        </w:rPr>
        <w:t>委”）提交了市</w:t>
      </w:r>
      <w:r>
        <w:rPr>
          <w:rFonts w:hint="eastAsia" w:ascii="仿宋_GB2312" w:hAnsi="仿宋_GB2312" w:eastAsia="仿宋_GB2312" w:cs="仿宋_GB2312"/>
          <w:kern w:val="21"/>
          <w:sz w:val="32"/>
          <w:szCs w:val="32"/>
        </w:rPr>
        <w:t>级初评申请。按照</w:t>
      </w:r>
      <w:r>
        <w:rPr>
          <w:rFonts w:hint="eastAsia" w:ascii="仿宋_GB2312" w:hAnsi="仿宋_GB2312" w:eastAsia="仿宋_GB2312" w:cs="仿宋_GB2312"/>
          <w:kern w:val="21"/>
          <w:sz w:val="32"/>
          <w:szCs w:val="32"/>
          <w:lang w:eastAsia="zh-CN"/>
        </w:rPr>
        <w:t>市</w:t>
      </w:r>
      <w:r>
        <w:rPr>
          <w:rFonts w:hint="eastAsia" w:ascii="仿宋_GB2312" w:hAnsi="仿宋_GB2312" w:eastAsia="仿宋_GB2312" w:cs="仿宋_GB2312"/>
          <w:kern w:val="21"/>
          <w:sz w:val="32"/>
          <w:szCs w:val="32"/>
        </w:rPr>
        <w:t>食</w:t>
      </w:r>
      <w:r>
        <w:rPr>
          <w:rFonts w:hint="eastAsia" w:ascii="仿宋_GB2312" w:hAnsi="仿宋_GB2312" w:eastAsia="仿宋_GB2312" w:cs="仿宋_GB2312"/>
          <w:kern w:val="21"/>
          <w:sz w:val="32"/>
          <w:szCs w:val="32"/>
          <w:lang w:eastAsia="zh-CN"/>
        </w:rPr>
        <w:t>安</w:t>
      </w:r>
      <w:r>
        <w:rPr>
          <w:rFonts w:hint="eastAsia" w:ascii="仿宋_GB2312" w:hAnsi="仿宋_GB2312" w:eastAsia="仿宋_GB2312" w:cs="仿宋_GB2312"/>
          <w:kern w:val="21"/>
          <w:sz w:val="32"/>
          <w:szCs w:val="32"/>
        </w:rPr>
        <w:t>委工作部署，</w:t>
      </w:r>
      <w:r>
        <w:rPr>
          <w:rFonts w:hint="eastAsia" w:ascii="仿宋_GB2312" w:hAnsi="仿宋_GB2312" w:eastAsia="仿宋_GB2312" w:cs="仿宋_GB2312"/>
          <w:kern w:val="21"/>
          <w:sz w:val="32"/>
          <w:szCs w:val="32"/>
          <w:lang w:eastAsia="zh-CN"/>
        </w:rPr>
        <w:t>市食品安全委员会办公室（以下简称“市</w:t>
      </w:r>
      <w:r>
        <w:rPr>
          <w:rFonts w:hint="eastAsia" w:ascii="仿宋_GB2312" w:hAnsi="仿宋_GB2312" w:eastAsia="仿宋_GB2312" w:cs="仿宋_GB2312"/>
          <w:kern w:val="21"/>
          <w:sz w:val="32"/>
          <w:szCs w:val="32"/>
        </w:rPr>
        <w:t>食安</w:t>
      </w:r>
      <w:r>
        <w:rPr>
          <w:rFonts w:hint="eastAsia" w:ascii="仿宋_GB2312" w:hAnsi="仿宋_GB2312" w:eastAsia="仿宋_GB2312" w:cs="仿宋_GB2312"/>
          <w:kern w:val="21"/>
          <w:sz w:val="32"/>
          <w:szCs w:val="32"/>
          <w:lang w:eastAsia="zh-CN"/>
        </w:rPr>
        <w:t>办”）会同市有关部门，</w:t>
      </w:r>
      <w:r>
        <w:rPr>
          <w:rFonts w:hint="eastAsia" w:ascii="仿宋_GB2312" w:hAnsi="仿宋_GB2312" w:eastAsia="仿宋_GB2312" w:cs="仿宋_GB2312"/>
          <w:kern w:val="21"/>
          <w:sz w:val="32"/>
          <w:szCs w:val="32"/>
        </w:rPr>
        <w:t>依据</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广东省食品安全委员会办公室关于印发广东省食品安全示范城市（县）评价与管理办法的通知</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（粤食安办〔202</w:t>
      </w:r>
      <w:r>
        <w:rPr>
          <w:rFonts w:hint="eastAsia" w:ascii="仿宋_GB2312" w:hAnsi="仿宋_GB2312" w:eastAsia="仿宋_GB2312" w:cs="仿宋_GB2312"/>
          <w:kern w:val="21"/>
          <w:sz w:val="32"/>
          <w:szCs w:val="32"/>
          <w:lang w:val="en-US" w:eastAsia="zh-CN"/>
        </w:rPr>
        <w:t>1</w:t>
      </w:r>
      <w:r>
        <w:rPr>
          <w:rFonts w:hint="eastAsia" w:ascii="仿宋_GB2312" w:hAnsi="仿宋_GB2312" w:eastAsia="仿宋_GB2312" w:cs="仿宋_GB2312"/>
          <w:kern w:val="21"/>
          <w:sz w:val="32"/>
          <w:szCs w:val="32"/>
        </w:rPr>
        <w:t>〕</w:t>
      </w:r>
      <w:r>
        <w:rPr>
          <w:rFonts w:hint="eastAsia" w:ascii="仿宋_GB2312" w:hAnsi="仿宋_GB2312" w:eastAsia="仿宋_GB2312" w:cs="仿宋_GB2312"/>
          <w:kern w:val="21"/>
          <w:sz w:val="32"/>
          <w:szCs w:val="32"/>
          <w:lang w:val="en-US" w:eastAsia="zh-CN"/>
        </w:rPr>
        <w:t>45</w:t>
      </w:r>
      <w:r>
        <w:rPr>
          <w:rFonts w:hint="eastAsia" w:ascii="仿宋_GB2312" w:hAnsi="仿宋_GB2312" w:eastAsia="仿宋_GB2312" w:cs="仿宋_GB2312"/>
          <w:kern w:val="21"/>
          <w:sz w:val="32"/>
          <w:szCs w:val="32"/>
        </w:rPr>
        <w:t>号）</w:t>
      </w:r>
      <w:r>
        <w:rPr>
          <w:rFonts w:hint="eastAsia" w:ascii="仿宋_GB2312" w:hAnsi="仿宋_GB2312" w:eastAsia="仿宋_GB2312" w:cs="仿宋_GB2312"/>
          <w:kern w:val="21"/>
          <w:sz w:val="32"/>
          <w:szCs w:val="32"/>
          <w:lang w:val="en-US" w:eastAsia="zh-CN"/>
        </w:rPr>
        <w:t>《广东省食品药品安全与高质量发展委员会办公室关于印发广东省食品安全示范城市（县）评价细则的通知》（粤食药安办〔2022〕5号）</w:t>
      </w:r>
      <w:r>
        <w:rPr>
          <w:rFonts w:hint="eastAsia" w:ascii="Times New Roman" w:hAnsi="Times New Roman" w:eastAsia="仿宋_GB2312" w:cs="Times New Roman"/>
          <w:kern w:val="21"/>
          <w:sz w:val="32"/>
          <w:szCs w:val="32"/>
        </w:rPr>
        <w:t>（以下简称《评价细则》），对</w:t>
      </w:r>
      <w:r>
        <w:rPr>
          <w:rFonts w:hint="eastAsia" w:ascii="Times New Roman" w:hAnsi="Times New Roman" w:eastAsia="仿宋_GB2312" w:cs="Times New Roman"/>
          <w:kern w:val="21"/>
          <w:sz w:val="32"/>
          <w:szCs w:val="32"/>
          <w:lang w:eastAsia="zh-CN"/>
        </w:rPr>
        <w:t>南海区</w:t>
      </w:r>
      <w:r>
        <w:rPr>
          <w:rFonts w:hint="eastAsia" w:ascii="Times New Roman" w:hAnsi="Times New Roman" w:eastAsia="仿宋_GB2312" w:cs="Times New Roman"/>
          <w:kern w:val="21"/>
          <w:sz w:val="32"/>
          <w:szCs w:val="32"/>
        </w:rPr>
        <w:t>创建</w:t>
      </w:r>
      <w:r>
        <w:rPr>
          <w:rFonts w:hint="eastAsia" w:ascii="Times New Roman" w:hAnsi="Times New Roman" w:eastAsia="仿宋_GB2312" w:cs="Times New Roman"/>
          <w:kern w:val="21"/>
          <w:sz w:val="32"/>
          <w:szCs w:val="32"/>
          <w:lang w:eastAsia="zh-CN"/>
        </w:rPr>
        <w:t>广东省</w:t>
      </w:r>
      <w:r>
        <w:rPr>
          <w:rFonts w:hint="eastAsia" w:ascii="Times New Roman" w:hAnsi="Times New Roman" w:eastAsia="仿宋_GB2312" w:cs="Times New Roman"/>
          <w:kern w:val="21"/>
          <w:sz w:val="32"/>
          <w:szCs w:val="32"/>
        </w:rPr>
        <w:t>食品安全示范</w:t>
      </w:r>
      <w:r>
        <w:rPr>
          <w:rFonts w:hint="eastAsia" w:ascii="Times New Roman" w:hAnsi="Times New Roman" w:eastAsia="仿宋_GB2312" w:cs="Times New Roman"/>
          <w:kern w:val="21"/>
          <w:sz w:val="32"/>
          <w:szCs w:val="32"/>
          <w:lang w:eastAsia="zh-CN"/>
        </w:rPr>
        <w:t>区</w:t>
      </w:r>
      <w:r>
        <w:rPr>
          <w:rFonts w:hint="eastAsia" w:ascii="Times New Roman" w:hAnsi="Times New Roman" w:eastAsia="仿宋_GB2312" w:cs="Times New Roman"/>
          <w:kern w:val="21"/>
          <w:sz w:val="32"/>
          <w:szCs w:val="32"/>
        </w:rPr>
        <w:t>进行</w:t>
      </w:r>
      <w:r>
        <w:rPr>
          <w:rFonts w:hint="eastAsia" w:ascii="Times New Roman" w:hAnsi="Times New Roman" w:eastAsia="仿宋_GB2312" w:cs="Times New Roman"/>
          <w:kern w:val="21"/>
          <w:sz w:val="32"/>
          <w:szCs w:val="32"/>
          <w:lang w:eastAsia="zh-CN"/>
        </w:rPr>
        <w:t>了市级</w:t>
      </w:r>
      <w:r>
        <w:rPr>
          <w:rFonts w:hint="eastAsia" w:ascii="Times New Roman" w:hAnsi="Times New Roman" w:eastAsia="仿宋_GB2312" w:cs="Times New Roman"/>
          <w:kern w:val="21"/>
          <w:sz w:val="32"/>
          <w:szCs w:val="32"/>
        </w:rPr>
        <w:t>初评。现将有关情况汇总如下。</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line="560" w:lineRule="exact"/>
        <w:ind w:firstLine="640" w:firstLineChars="200"/>
        <w:textAlignment w:val="auto"/>
        <w:outlineLvl w:val="1"/>
        <w:rPr>
          <w:rFonts w:ascii="Times New Roman" w:hAnsi="Times New Roman" w:eastAsia="黑体" w:cs="黑体"/>
          <w:kern w:val="21"/>
          <w:sz w:val="32"/>
          <w:szCs w:val="32"/>
        </w:rPr>
      </w:pPr>
      <w:bookmarkStart w:id="0" w:name="_Toc46972112_WPSOffice_Level1"/>
      <w:r>
        <w:rPr>
          <w:rFonts w:hint="eastAsia" w:ascii="Times New Roman" w:hAnsi="Times New Roman" w:eastAsia="黑体" w:cs="黑体"/>
          <w:kern w:val="21"/>
          <w:sz w:val="32"/>
          <w:szCs w:val="32"/>
          <w:lang w:eastAsia="zh-CN"/>
        </w:rPr>
        <w:t>市</w:t>
      </w:r>
      <w:r>
        <w:rPr>
          <w:rFonts w:hint="eastAsia" w:ascii="Times New Roman" w:hAnsi="Times New Roman" w:eastAsia="黑体" w:cs="黑体"/>
          <w:kern w:val="21"/>
          <w:sz w:val="32"/>
          <w:szCs w:val="32"/>
        </w:rPr>
        <w:t>级初评</w:t>
      </w:r>
      <w:r>
        <w:rPr>
          <w:rFonts w:ascii="Times New Roman" w:hAnsi="Times New Roman" w:eastAsia="黑体" w:cs="黑体"/>
          <w:kern w:val="21"/>
          <w:sz w:val="32"/>
          <w:szCs w:val="32"/>
        </w:rPr>
        <w:t>过程</w:t>
      </w:r>
      <w:bookmarkEnd w:id="0"/>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200" w:firstLine="320" w:firstLineChars="100"/>
        <w:textAlignment w:val="auto"/>
        <w:outlineLvl w:val="1"/>
        <w:rPr>
          <w:rFonts w:hint="eastAsia" w:ascii="楷体_GB2312" w:hAnsi="楷体_GB2312" w:eastAsia="楷体_GB2312" w:cs="楷体_GB2312"/>
          <w:color w:val="auto"/>
          <w:kern w:val="21"/>
          <w:sz w:val="32"/>
          <w:szCs w:val="32"/>
        </w:rPr>
      </w:pPr>
      <w:bookmarkStart w:id="1" w:name="_Toc1408992911_WPSOffice_Level2"/>
      <w:r>
        <w:rPr>
          <w:rFonts w:hint="eastAsia" w:ascii="楷体_GB2312" w:hAnsi="楷体_GB2312" w:eastAsia="楷体_GB2312" w:cs="楷体_GB2312"/>
          <w:color w:val="auto"/>
          <w:kern w:val="21"/>
          <w:sz w:val="32"/>
          <w:szCs w:val="32"/>
          <w:lang w:eastAsia="zh-CN"/>
        </w:rPr>
        <w:t>（一）</w:t>
      </w:r>
      <w:r>
        <w:rPr>
          <w:rFonts w:hint="eastAsia" w:ascii="楷体_GB2312" w:hAnsi="楷体_GB2312" w:eastAsia="楷体_GB2312" w:cs="楷体_GB2312"/>
          <w:color w:val="auto"/>
          <w:kern w:val="21"/>
          <w:sz w:val="32"/>
          <w:szCs w:val="32"/>
        </w:rPr>
        <w:t>资料审核</w:t>
      </w:r>
      <w:bookmarkEnd w:id="1"/>
    </w:p>
    <w:p>
      <w:pPr>
        <w:pStyle w:val="10"/>
        <w:keepNext w:val="0"/>
        <w:keepLines w:val="0"/>
        <w:pageBreakBefore w:val="0"/>
        <w:widowControl w:val="0"/>
        <w:kinsoku/>
        <w:wordWrap/>
        <w:overflowPunct/>
        <w:topLinePunct w:val="0"/>
        <w:autoSpaceDE/>
        <w:autoSpaceDN/>
        <w:bidi w:val="0"/>
        <w:adjustRightInd/>
        <w:snapToGrid/>
        <w:spacing w:beforeLines="0" w:after="0" w:afterLines="0" w:line="560" w:lineRule="exact"/>
        <w:ind w:firstLine="640"/>
        <w:textAlignment w:val="auto"/>
        <w:rPr>
          <w:rFonts w:eastAsia="仿宋_GB2312"/>
          <w:color w:val="auto"/>
          <w:kern w:val="21"/>
          <w:sz w:val="32"/>
          <w:szCs w:val="32"/>
        </w:rPr>
      </w:pPr>
      <w:r>
        <w:rPr>
          <w:rFonts w:hint="eastAsia" w:eastAsia="仿宋_GB2312"/>
          <w:color w:val="auto"/>
          <w:kern w:val="21"/>
          <w:sz w:val="32"/>
          <w:szCs w:val="32"/>
          <w:lang w:eastAsia="zh-CN"/>
        </w:rPr>
        <w:t>市食安办</w:t>
      </w:r>
      <w:r>
        <w:rPr>
          <w:rFonts w:hint="eastAsia" w:eastAsia="仿宋_GB2312"/>
          <w:color w:val="auto"/>
          <w:kern w:val="21"/>
          <w:sz w:val="32"/>
          <w:szCs w:val="32"/>
        </w:rPr>
        <w:t>印发《</w:t>
      </w:r>
      <w:r>
        <w:rPr>
          <w:rFonts w:hint="eastAsia" w:eastAsia="仿宋_GB2312"/>
          <w:color w:val="auto"/>
          <w:kern w:val="21"/>
          <w:sz w:val="32"/>
          <w:szCs w:val="32"/>
          <w:lang w:eastAsia="zh-CN"/>
        </w:rPr>
        <w:t>关于开展南海区创建广东省食品安全示范区评价验收市级初评工作的通知</w:t>
      </w:r>
      <w:r>
        <w:rPr>
          <w:rFonts w:hint="eastAsia" w:eastAsia="仿宋_GB2312"/>
          <w:color w:val="auto"/>
          <w:kern w:val="21"/>
          <w:sz w:val="32"/>
          <w:szCs w:val="32"/>
        </w:rPr>
        <w:t>》，组织市发展改革局、市教育局、市科技局、市公安局</w:t>
      </w:r>
      <w:r>
        <w:rPr>
          <w:rFonts w:hint="eastAsia" w:eastAsia="仿宋_GB2312"/>
          <w:color w:val="auto"/>
          <w:kern w:val="21"/>
          <w:sz w:val="32"/>
          <w:szCs w:val="32"/>
          <w:lang w:eastAsia="zh-CN"/>
        </w:rPr>
        <w:t>、</w:t>
      </w:r>
      <w:r>
        <w:rPr>
          <w:rFonts w:hint="eastAsia" w:eastAsia="仿宋_GB2312"/>
          <w:color w:val="auto"/>
          <w:kern w:val="21"/>
          <w:sz w:val="32"/>
          <w:szCs w:val="32"/>
        </w:rPr>
        <w:t>市民政局、市生态环境局</w:t>
      </w:r>
      <w:r>
        <w:rPr>
          <w:rFonts w:hint="eastAsia" w:eastAsia="仿宋_GB2312"/>
          <w:color w:val="auto"/>
          <w:kern w:val="21"/>
          <w:sz w:val="32"/>
          <w:szCs w:val="32"/>
          <w:lang w:eastAsia="zh-CN"/>
        </w:rPr>
        <w:t>、</w:t>
      </w:r>
      <w:r>
        <w:rPr>
          <w:rFonts w:hint="eastAsia" w:eastAsia="仿宋_GB2312"/>
          <w:color w:val="auto"/>
          <w:kern w:val="21"/>
          <w:sz w:val="32"/>
          <w:szCs w:val="32"/>
        </w:rPr>
        <w:t>市农业农村局、市卫生健康局、市市场监管局</w:t>
      </w:r>
      <w:r>
        <w:rPr>
          <w:rFonts w:hint="eastAsia" w:eastAsia="仿宋_GB2312"/>
          <w:color w:val="auto"/>
          <w:kern w:val="21"/>
          <w:sz w:val="32"/>
          <w:szCs w:val="32"/>
          <w:lang w:eastAsia="zh-CN"/>
        </w:rPr>
        <w:t>、</w:t>
      </w:r>
      <w:r>
        <w:rPr>
          <w:rFonts w:hint="eastAsia" w:eastAsia="仿宋_GB2312"/>
          <w:color w:val="auto"/>
          <w:kern w:val="21"/>
          <w:sz w:val="32"/>
          <w:szCs w:val="32"/>
        </w:rPr>
        <w:t>佛山海关等</w:t>
      </w:r>
      <w:r>
        <w:rPr>
          <w:rFonts w:hint="eastAsia" w:eastAsia="仿宋_GB2312"/>
          <w:color w:val="auto"/>
          <w:kern w:val="21"/>
          <w:sz w:val="32"/>
          <w:szCs w:val="32"/>
          <w:lang w:eastAsia="zh-CN"/>
        </w:rPr>
        <w:t>市</w:t>
      </w:r>
      <w:r>
        <w:rPr>
          <w:rFonts w:hint="eastAsia" w:eastAsia="仿宋_GB2312"/>
          <w:color w:val="auto"/>
          <w:kern w:val="21"/>
          <w:sz w:val="32"/>
          <w:szCs w:val="32"/>
        </w:rPr>
        <w:t>直单位，根据</w:t>
      </w:r>
      <w:r>
        <w:rPr>
          <w:rFonts w:hint="eastAsia" w:eastAsia="仿宋_GB2312"/>
          <w:color w:val="auto"/>
          <w:kern w:val="21"/>
          <w:sz w:val="32"/>
          <w:szCs w:val="32"/>
          <w:lang w:eastAsia="zh-CN"/>
        </w:rPr>
        <w:t>南海区</w:t>
      </w:r>
      <w:r>
        <w:rPr>
          <w:rFonts w:hint="eastAsia" w:eastAsia="仿宋_GB2312"/>
          <w:color w:val="auto"/>
          <w:kern w:val="21"/>
          <w:sz w:val="32"/>
          <w:szCs w:val="32"/>
        </w:rPr>
        <w:t>自评材料</w:t>
      </w:r>
      <w:r>
        <w:rPr>
          <w:rFonts w:hint="eastAsia" w:eastAsia="仿宋_GB2312"/>
          <w:color w:val="auto"/>
          <w:kern w:val="21"/>
          <w:sz w:val="32"/>
          <w:szCs w:val="32"/>
          <w:lang w:eastAsia="zh-CN"/>
        </w:rPr>
        <w:t>及</w:t>
      </w:r>
      <w:r>
        <w:rPr>
          <w:rFonts w:ascii="Times New Roman" w:hAnsi="Times New Roman" w:eastAsia="仿宋_GB2312" w:cs="Times New Roman"/>
          <w:color w:val="auto"/>
          <w:kern w:val="21"/>
          <w:sz w:val="32"/>
          <w:szCs w:val="32"/>
        </w:rPr>
        <w:t>《</w:t>
      </w:r>
      <w:r>
        <w:rPr>
          <w:rFonts w:hint="eastAsia" w:ascii="Times New Roman" w:hAnsi="Times New Roman" w:eastAsia="仿宋_GB2312" w:cs="Times New Roman"/>
          <w:color w:val="auto"/>
          <w:kern w:val="21"/>
          <w:sz w:val="32"/>
          <w:szCs w:val="32"/>
          <w:lang w:eastAsia="zh-CN"/>
        </w:rPr>
        <w:t>评价细则</w:t>
      </w:r>
      <w:r>
        <w:rPr>
          <w:rFonts w:ascii="Times New Roman" w:hAnsi="Times New Roman" w:eastAsia="仿宋_GB2312" w:cs="Times New Roman"/>
          <w:color w:val="auto"/>
          <w:kern w:val="21"/>
          <w:sz w:val="32"/>
          <w:szCs w:val="32"/>
        </w:rPr>
        <w:t>》</w:t>
      </w:r>
      <w:r>
        <w:rPr>
          <w:rFonts w:hint="eastAsia" w:eastAsia="仿宋_GB2312"/>
          <w:color w:val="auto"/>
          <w:kern w:val="21"/>
          <w:sz w:val="32"/>
          <w:szCs w:val="32"/>
        </w:rPr>
        <w:t>，并结合日常掌握情况，对考核指标进行复核</w:t>
      </w:r>
      <w:r>
        <w:rPr>
          <w:rFonts w:eastAsia="仿宋_GB2312"/>
          <w:color w:val="auto"/>
          <w:kern w:val="21"/>
          <w:sz w:val="32"/>
          <w:szCs w:val="32"/>
        </w:rPr>
        <w:t>打分。</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200" w:firstLine="320" w:firstLineChars="100"/>
        <w:textAlignment w:val="auto"/>
        <w:outlineLvl w:val="1"/>
        <w:rPr>
          <w:rFonts w:hint="eastAsia" w:ascii="楷体_GB2312" w:hAnsi="楷体_GB2312" w:eastAsia="楷体_GB2312" w:cs="楷体_GB2312"/>
          <w:color w:val="auto"/>
          <w:kern w:val="21"/>
          <w:sz w:val="32"/>
          <w:szCs w:val="32"/>
        </w:rPr>
      </w:pPr>
      <w:bookmarkStart w:id="2" w:name="_Toc2065382866_WPSOffice_Level2"/>
      <w:r>
        <w:rPr>
          <w:rFonts w:hint="eastAsia" w:ascii="楷体_GB2312" w:hAnsi="楷体_GB2312" w:eastAsia="楷体_GB2312" w:cs="楷体_GB2312"/>
          <w:color w:val="auto"/>
          <w:kern w:val="21"/>
          <w:sz w:val="32"/>
          <w:szCs w:val="32"/>
          <w:lang w:eastAsia="zh-CN"/>
        </w:rPr>
        <w:t>（二）</w:t>
      </w:r>
      <w:r>
        <w:rPr>
          <w:rFonts w:hint="eastAsia" w:ascii="楷体_GB2312" w:hAnsi="楷体_GB2312" w:eastAsia="楷体_GB2312" w:cs="楷体_GB2312"/>
          <w:color w:val="auto"/>
          <w:kern w:val="21"/>
          <w:sz w:val="32"/>
          <w:szCs w:val="32"/>
        </w:rPr>
        <w:t>现场</w:t>
      </w:r>
      <w:bookmarkEnd w:id="2"/>
      <w:r>
        <w:rPr>
          <w:rFonts w:hint="eastAsia" w:ascii="楷体_GB2312" w:hAnsi="楷体_GB2312" w:eastAsia="楷体_GB2312" w:cs="楷体_GB2312"/>
          <w:color w:val="auto"/>
          <w:kern w:val="21"/>
          <w:sz w:val="32"/>
          <w:szCs w:val="32"/>
        </w:rPr>
        <w:t>检查</w:t>
      </w:r>
    </w:p>
    <w:p>
      <w:pPr>
        <w:pStyle w:val="2"/>
        <w:spacing w:beforeLines="0" w:after="0" w:afterLines="0" w:line="560" w:lineRule="exact"/>
        <w:ind w:firstLine="640" w:firstLineChars="200"/>
        <w:rPr>
          <w:rFonts w:hint="eastAsia" w:ascii="仿宋_GB2312" w:hAnsi="仿宋_GB2312" w:eastAsia="仿宋_GB2312" w:cs="仿宋_GB2312"/>
          <w:kern w:val="21"/>
          <w:sz w:val="32"/>
          <w:szCs w:val="32"/>
          <w:lang w:val="en-US" w:eastAsia="zh-CN" w:bidi="ar-SA"/>
        </w:rPr>
      </w:pPr>
      <w:r>
        <w:rPr>
          <w:rFonts w:hint="eastAsia" w:ascii="仿宋_GB2312" w:hAnsi="仿宋_GB2312" w:eastAsia="仿宋_GB2312" w:cs="仿宋_GB2312"/>
          <w:kern w:val="21"/>
          <w:sz w:val="32"/>
          <w:szCs w:val="32"/>
          <w:lang w:val="en-US" w:eastAsia="zh-CN" w:bidi="ar-SA"/>
        </w:rPr>
        <w:t>现场检查的业态涉及农业生产企业、农业投入品经营企业、屠宰企业、政策性粮食收储企业、食品及食品相关产品生产企业、食品销售企业、农贸市场、餐饮服务单位、餐饮具集中消毒服务单位、医疗机构、学校（食堂）、基层监管单位等不同业态。由</w:t>
      </w:r>
      <w:r>
        <w:rPr>
          <w:rFonts w:hint="eastAsia" w:ascii="仿宋_GB2312" w:hAnsi="仿宋_GB2312" w:eastAsia="仿宋_GB2312" w:cs="仿宋_GB2312"/>
          <w:color w:val="auto"/>
          <w:kern w:val="21"/>
          <w:sz w:val="32"/>
          <w:szCs w:val="32"/>
          <w:lang w:val="en-US" w:eastAsia="zh-CN" w:bidi="ar-SA"/>
        </w:rPr>
        <w:t>市发展改革局、市教育局、市民政局、市农业农村局、市卫生健康局、市市场监管局</w:t>
      </w:r>
      <w:r>
        <w:rPr>
          <w:rFonts w:hint="eastAsia" w:ascii="仿宋_GB2312" w:hAnsi="仿宋_GB2312" w:eastAsia="仿宋_GB2312" w:cs="仿宋_GB2312"/>
          <w:kern w:val="21"/>
          <w:sz w:val="32"/>
          <w:szCs w:val="32"/>
          <w:lang w:val="en-US" w:eastAsia="zh-CN" w:bidi="ar-SA"/>
        </w:rPr>
        <w:t>分别组织对南海区相关企业进行明查暗访检查打分，按明查范围至少覆盖三分之二镇（街），暗访至少覆盖4个镇（街）随机抽取样本</w:t>
      </w:r>
      <w:r>
        <w:rPr>
          <w:rFonts w:hint="eastAsia" w:ascii="仿宋_GB2312" w:hAnsi="仿宋_GB2312" w:eastAsia="仿宋_GB2312" w:cs="仿宋_GB2312"/>
          <w:color w:val="auto"/>
          <w:kern w:val="21"/>
          <w:sz w:val="32"/>
          <w:szCs w:val="32"/>
          <w:lang w:val="en-US" w:eastAsia="zh-CN" w:bidi="ar-SA"/>
        </w:rPr>
        <w:t>，共明查暗访19类业态（网络订餐第三方平台为合理缺项）共57家企业、单位。</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line="560" w:lineRule="exact"/>
        <w:ind w:firstLine="640" w:firstLineChars="200"/>
        <w:textAlignment w:val="auto"/>
        <w:outlineLvl w:val="1"/>
        <w:rPr>
          <w:rFonts w:ascii="Times New Roman" w:hAnsi="Times New Roman" w:eastAsia="黑体" w:cs="黑体"/>
          <w:kern w:val="21"/>
          <w:sz w:val="32"/>
          <w:szCs w:val="32"/>
        </w:rPr>
      </w:pPr>
      <w:bookmarkStart w:id="3" w:name="_Toc2065382866_WPSOffice_Level1"/>
      <w:r>
        <w:rPr>
          <w:rFonts w:hint="eastAsia" w:ascii="Times New Roman" w:hAnsi="Times New Roman" w:eastAsia="黑体" w:cs="黑体"/>
          <w:kern w:val="21"/>
          <w:sz w:val="32"/>
          <w:szCs w:val="32"/>
          <w:lang w:eastAsia="zh-CN"/>
        </w:rPr>
        <w:t>南海区食品安全</w:t>
      </w:r>
      <w:r>
        <w:rPr>
          <w:rFonts w:ascii="Times New Roman" w:hAnsi="Times New Roman" w:eastAsia="黑体" w:cs="黑体"/>
          <w:kern w:val="21"/>
          <w:sz w:val="32"/>
          <w:szCs w:val="32"/>
        </w:rPr>
        <w:t>总体情况</w:t>
      </w:r>
      <w:bookmarkEnd w:id="3"/>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color w:val="auto"/>
          <w:spacing w:val="0"/>
          <w:kern w:val="21"/>
          <w:sz w:val="32"/>
          <w:szCs w:val="32"/>
          <w:lang w:val="en-US" w:eastAsia="zh-CN"/>
        </w:rPr>
        <w:t>南海区委、区政府坚决贯彻习近平新时代中国特色社会主义思想和上级关于食品安全工作的决策部署，认真落实“四个最严”要求，勇于改革，坚持创新，</w:t>
      </w:r>
      <w:r>
        <w:rPr>
          <w:rFonts w:hint="eastAsia" w:ascii="宋体" w:hAnsi="宋体" w:eastAsia="仿宋_GB2312" w:cs="仿宋_GB2312"/>
          <w:color w:val="auto"/>
          <w:spacing w:val="0"/>
          <w:kern w:val="21"/>
          <w:sz w:val="32"/>
          <w:szCs w:val="32"/>
          <w:lang w:val="en-US" w:eastAsia="zh-CN"/>
        </w:rPr>
        <w:t>食品安全治理“南海经验”引起</w:t>
      </w:r>
      <w:r>
        <w:rPr>
          <w:rFonts w:hint="eastAsia" w:ascii="仿宋_GB2312" w:hAnsi="仿宋_GB2312" w:eastAsia="仿宋_GB2312" w:cs="仿宋_GB2312"/>
          <w:color w:val="auto"/>
          <w:spacing w:val="0"/>
          <w:kern w:val="21"/>
          <w:sz w:val="32"/>
          <w:szCs w:val="32"/>
          <w:lang w:val="en-US" w:eastAsia="zh-CN"/>
        </w:rPr>
        <w:t>全市、全省乃至全国的关注。自2018年3月正式启动广东省食品安全示范区创建工作以来，深入推进食品安全“十大重点工程”建设，食品安全综合治理水平提升明显，群众食品安全满意度由2017年的78.4%提升至2021年的84.2%；食品行业发展迅猛，截至2022年6月，全区持证食品生产经营单位达74308家，约占全市总数40%，对比2018年1月增幅达117.4%。</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楷体_GB2312" w:hAnsi="楷体_GB2312" w:eastAsia="楷体_GB2312" w:cs="楷体_GB2312"/>
          <w:color w:val="auto"/>
          <w:kern w:val="21"/>
          <w:sz w:val="32"/>
          <w:szCs w:val="32"/>
          <w:lang w:val="en-US" w:eastAsia="zh-CN" w:bidi="ar-SA"/>
        </w:rPr>
      </w:pPr>
      <w:r>
        <w:rPr>
          <w:rFonts w:hint="eastAsia" w:ascii="楷体_GB2312" w:hAnsi="楷体_GB2312" w:eastAsia="楷体_GB2312" w:cs="楷体_GB2312"/>
          <w:color w:val="auto"/>
          <w:kern w:val="21"/>
          <w:sz w:val="32"/>
          <w:szCs w:val="32"/>
          <w:lang w:val="en-US" w:eastAsia="zh-CN" w:bidi="ar-SA"/>
        </w:rPr>
        <w:t>（一）工作成效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hint="eastAsia" w:ascii="仿宋_GB2312" w:hAnsi="仿宋_GB2312" w:eastAsia="仿宋_GB2312" w:cs="仿宋_GB2312"/>
          <w:color w:val="auto"/>
          <w:spacing w:val="0"/>
          <w:kern w:val="21"/>
          <w:sz w:val="32"/>
          <w:szCs w:val="32"/>
        </w:rPr>
      </w:pPr>
      <w:r>
        <w:rPr>
          <w:rFonts w:hint="eastAsia" w:ascii="仿宋_GB2312" w:hAnsi="仿宋_GB2312" w:eastAsia="仿宋_GB2312" w:cs="仿宋_GB2312"/>
          <w:b/>
          <w:bCs/>
          <w:color w:val="auto"/>
          <w:kern w:val="21"/>
          <w:sz w:val="32"/>
          <w:szCs w:val="32"/>
          <w:lang w:val="en-US" w:eastAsia="zh-CN" w:bidi="ar-SA"/>
        </w:rPr>
        <w:t>一是坚持高位领导，创建基础坚实有力。</w:t>
      </w:r>
      <w:r>
        <w:rPr>
          <w:rFonts w:hint="eastAsia" w:ascii="仿宋_GB2312" w:hAnsi="仿宋_GB2312" w:eastAsia="仿宋_GB2312" w:cs="仿宋_GB2312"/>
          <w:color w:val="auto"/>
          <w:spacing w:val="0"/>
          <w:kern w:val="21"/>
          <w:sz w:val="32"/>
          <w:szCs w:val="32"/>
          <w:lang w:val="en-US" w:eastAsia="zh-CN"/>
        </w:rPr>
        <w:t>南海</w:t>
      </w:r>
      <w:r>
        <w:rPr>
          <w:rFonts w:hint="eastAsia" w:ascii="仿宋_GB2312" w:hAnsi="仿宋_GB2312" w:eastAsia="仿宋_GB2312" w:cs="仿宋_GB2312"/>
          <w:color w:val="auto"/>
          <w:spacing w:val="0"/>
          <w:kern w:val="21"/>
          <w:sz w:val="32"/>
          <w:szCs w:val="32"/>
          <w:lang w:eastAsia="zh-CN"/>
        </w:rPr>
        <w:t>区</w:t>
      </w:r>
      <w:r>
        <w:rPr>
          <w:rFonts w:hint="eastAsia" w:ascii="仿宋_GB2312" w:hAnsi="仿宋_GB2312" w:eastAsia="仿宋_GB2312" w:cs="仿宋_GB2312"/>
          <w:color w:val="auto"/>
          <w:spacing w:val="0"/>
          <w:kern w:val="21"/>
          <w:sz w:val="32"/>
          <w:szCs w:val="32"/>
        </w:rPr>
        <w:t>委、</w:t>
      </w:r>
      <w:r>
        <w:rPr>
          <w:rFonts w:hint="eastAsia" w:ascii="仿宋_GB2312" w:hAnsi="仿宋_GB2312" w:eastAsia="仿宋_GB2312" w:cs="仿宋_GB2312"/>
          <w:color w:val="auto"/>
          <w:spacing w:val="0"/>
          <w:kern w:val="21"/>
          <w:sz w:val="32"/>
          <w:szCs w:val="32"/>
          <w:lang w:eastAsia="zh-CN"/>
        </w:rPr>
        <w:t>区</w:t>
      </w:r>
      <w:r>
        <w:rPr>
          <w:rFonts w:hint="eastAsia" w:ascii="仿宋_GB2312" w:hAnsi="仿宋_GB2312" w:eastAsia="仿宋_GB2312" w:cs="仿宋_GB2312"/>
          <w:color w:val="auto"/>
          <w:spacing w:val="0"/>
          <w:kern w:val="21"/>
          <w:sz w:val="32"/>
          <w:szCs w:val="32"/>
        </w:rPr>
        <w:t>政府将创建工作纳入“一把手工程”</w:t>
      </w:r>
      <w:r>
        <w:rPr>
          <w:rFonts w:hint="eastAsia" w:ascii="仿宋_GB2312" w:hAnsi="仿宋_GB2312" w:eastAsia="仿宋_GB2312" w:cs="仿宋_GB2312"/>
          <w:color w:val="auto"/>
          <w:spacing w:val="0"/>
          <w:kern w:val="21"/>
          <w:sz w:val="32"/>
          <w:szCs w:val="32"/>
          <w:lang w:val="en-US" w:eastAsia="zh-CN"/>
        </w:rPr>
        <w:t>，</w:t>
      </w:r>
      <w:r>
        <w:rPr>
          <w:rFonts w:hint="eastAsia" w:ascii="仿宋_GB2312" w:hAnsi="仿宋_GB2312" w:eastAsia="仿宋_GB2312" w:cs="仿宋_GB2312"/>
          <w:color w:val="auto"/>
          <w:spacing w:val="0"/>
          <w:kern w:val="21"/>
          <w:sz w:val="32"/>
          <w:szCs w:val="32"/>
        </w:rPr>
        <w:t>成立由</w:t>
      </w:r>
      <w:r>
        <w:rPr>
          <w:rFonts w:hint="eastAsia" w:ascii="仿宋_GB2312" w:hAnsi="仿宋_GB2312" w:eastAsia="仿宋_GB2312" w:cs="仿宋_GB2312"/>
          <w:color w:val="auto"/>
          <w:spacing w:val="0"/>
          <w:kern w:val="21"/>
          <w:sz w:val="32"/>
          <w:szCs w:val="32"/>
          <w:lang w:eastAsia="zh-CN"/>
        </w:rPr>
        <w:t>区委</w:t>
      </w:r>
      <w:r>
        <w:rPr>
          <w:rFonts w:hint="eastAsia" w:ascii="仿宋_GB2312" w:hAnsi="仿宋_GB2312" w:eastAsia="仿宋_GB2312" w:cs="仿宋_GB2312"/>
          <w:color w:val="auto"/>
          <w:spacing w:val="0"/>
          <w:kern w:val="21"/>
          <w:sz w:val="32"/>
          <w:szCs w:val="32"/>
        </w:rPr>
        <w:t>书记任组长、</w:t>
      </w:r>
      <w:r>
        <w:rPr>
          <w:rFonts w:hint="eastAsia" w:ascii="仿宋_GB2312" w:hAnsi="仿宋_GB2312" w:eastAsia="仿宋_GB2312" w:cs="仿宋_GB2312"/>
          <w:color w:val="auto"/>
          <w:spacing w:val="0"/>
          <w:kern w:val="21"/>
          <w:sz w:val="32"/>
          <w:szCs w:val="32"/>
          <w:lang w:eastAsia="zh-CN"/>
        </w:rPr>
        <w:t>区</w:t>
      </w:r>
      <w:r>
        <w:rPr>
          <w:rFonts w:hint="eastAsia" w:ascii="仿宋_GB2312" w:hAnsi="仿宋_GB2312" w:eastAsia="仿宋_GB2312" w:cs="仿宋_GB2312"/>
          <w:color w:val="auto"/>
          <w:spacing w:val="0"/>
          <w:kern w:val="21"/>
          <w:sz w:val="32"/>
          <w:szCs w:val="32"/>
        </w:rPr>
        <w:t>长任常务副组长的创建工作领导小组</w:t>
      </w:r>
      <w:r>
        <w:rPr>
          <w:rFonts w:hint="eastAsia" w:ascii="仿宋_GB2312" w:hAnsi="仿宋_GB2312" w:eastAsia="仿宋_GB2312" w:cs="仿宋_GB2312"/>
          <w:color w:val="auto"/>
          <w:spacing w:val="0"/>
          <w:kern w:val="21"/>
          <w:sz w:val="32"/>
          <w:szCs w:val="32"/>
          <w:lang w:eastAsia="zh-CN"/>
        </w:rPr>
        <w:t>，区</w:t>
      </w:r>
      <w:r>
        <w:rPr>
          <w:rFonts w:hint="eastAsia" w:ascii="仿宋_GB2312" w:hAnsi="仿宋_GB2312" w:eastAsia="仿宋_GB2312" w:cs="仿宋_GB2312"/>
          <w:color w:val="auto"/>
          <w:spacing w:val="0"/>
          <w:kern w:val="21"/>
          <w:sz w:val="32"/>
          <w:szCs w:val="32"/>
        </w:rPr>
        <w:t>长担任</w:t>
      </w:r>
      <w:r>
        <w:rPr>
          <w:rFonts w:hint="eastAsia" w:ascii="仿宋_GB2312" w:hAnsi="仿宋_GB2312" w:eastAsia="仿宋_GB2312" w:cs="仿宋_GB2312"/>
          <w:color w:val="auto"/>
          <w:spacing w:val="0"/>
          <w:kern w:val="21"/>
          <w:sz w:val="32"/>
          <w:szCs w:val="32"/>
          <w:lang w:eastAsia="zh-CN"/>
        </w:rPr>
        <w:t>区食安委</w:t>
      </w:r>
      <w:r>
        <w:rPr>
          <w:rFonts w:hint="eastAsia" w:ascii="仿宋_GB2312" w:hAnsi="仿宋_GB2312" w:eastAsia="仿宋_GB2312" w:cs="仿宋_GB2312"/>
          <w:color w:val="auto"/>
          <w:spacing w:val="0"/>
          <w:kern w:val="21"/>
          <w:sz w:val="32"/>
          <w:szCs w:val="32"/>
        </w:rPr>
        <w:t>主任</w:t>
      </w:r>
      <w:r>
        <w:rPr>
          <w:rFonts w:hint="eastAsia" w:ascii="仿宋_GB2312" w:hAnsi="仿宋_GB2312" w:eastAsia="仿宋_GB2312" w:cs="仿宋_GB2312"/>
          <w:color w:val="auto"/>
          <w:spacing w:val="0"/>
          <w:kern w:val="21"/>
          <w:sz w:val="32"/>
          <w:szCs w:val="32"/>
          <w:lang w:eastAsia="zh-CN"/>
        </w:rPr>
        <w:t>；区</w:t>
      </w:r>
      <w:r>
        <w:rPr>
          <w:rFonts w:hint="eastAsia" w:ascii="仿宋_GB2312" w:hAnsi="仿宋_GB2312" w:eastAsia="仿宋_GB2312" w:cs="仿宋_GB2312"/>
          <w:color w:val="auto"/>
          <w:spacing w:val="0"/>
          <w:kern w:val="21"/>
          <w:sz w:val="32"/>
          <w:szCs w:val="32"/>
        </w:rPr>
        <w:t>委常委会、</w:t>
      </w:r>
      <w:r>
        <w:rPr>
          <w:rFonts w:hint="eastAsia" w:ascii="仿宋_GB2312" w:hAnsi="仿宋_GB2312" w:eastAsia="仿宋_GB2312" w:cs="仿宋_GB2312"/>
          <w:color w:val="auto"/>
          <w:spacing w:val="0"/>
          <w:kern w:val="21"/>
          <w:sz w:val="32"/>
          <w:szCs w:val="32"/>
          <w:lang w:eastAsia="zh-CN"/>
        </w:rPr>
        <w:t>区</w:t>
      </w:r>
      <w:r>
        <w:rPr>
          <w:rFonts w:hint="eastAsia" w:ascii="仿宋_GB2312" w:hAnsi="仿宋_GB2312" w:eastAsia="仿宋_GB2312" w:cs="仿宋_GB2312"/>
          <w:color w:val="auto"/>
          <w:spacing w:val="0"/>
          <w:kern w:val="21"/>
          <w:sz w:val="32"/>
          <w:szCs w:val="32"/>
        </w:rPr>
        <w:t>政府常务会议</w:t>
      </w:r>
      <w:r>
        <w:rPr>
          <w:rFonts w:hint="eastAsia" w:ascii="仿宋_GB2312" w:hAnsi="仿宋_GB2312" w:eastAsia="仿宋_GB2312" w:cs="仿宋_GB2312"/>
          <w:color w:val="auto"/>
          <w:spacing w:val="0"/>
          <w:kern w:val="21"/>
          <w:sz w:val="32"/>
          <w:szCs w:val="32"/>
          <w:lang w:eastAsia="zh-CN"/>
        </w:rPr>
        <w:t>多</w:t>
      </w:r>
      <w:r>
        <w:rPr>
          <w:rFonts w:hint="eastAsia" w:ascii="仿宋_GB2312" w:hAnsi="仿宋_GB2312" w:eastAsia="仿宋_GB2312" w:cs="仿宋_GB2312"/>
          <w:color w:val="auto"/>
          <w:spacing w:val="0"/>
          <w:kern w:val="21"/>
          <w:sz w:val="32"/>
          <w:szCs w:val="32"/>
          <w:highlight w:val="none"/>
        </w:rPr>
        <w:t>次</w:t>
      </w:r>
      <w:r>
        <w:rPr>
          <w:rFonts w:hint="eastAsia" w:ascii="仿宋_GB2312" w:hAnsi="仿宋_GB2312" w:eastAsia="仿宋_GB2312" w:cs="仿宋_GB2312"/>
          <w:color w:val="auto"/>
          <w:spacing w:val="0"/>
          <w:kern w:val="21"/>
          <w:sz w:val="32"/>
          <w:szCs w:val="32"/>
        </w:rPr>
        <w:t>研究</w:t>
      </w:r>
      <w:r>
        <w:rPr>
          <w:rFonts w:hint="eastAsia" w:ascii="仿宋_GB2312" w:hAnsi="仿宋_GB2312" w:eastAsia="仿宋_GB2312" w:cs="仿宋_GB2312"/>
          <w:color w:val="auto"/>
          <w:spacing w:val="0"/>
          <w:kern w:val="21"/>
          <w:sz w:val="32"/>
          <w:szCs w:val="32"/>
          <w:lang w:eastAsia="zh-CN"/>
        </w:rPr>
        <w:t>部署食品安全</w:t>
      </w:r>
      <w:r>
        <w:rPr>
          <w:rFonts w:hint="eastAsia" w:ascii="仿宋_GB2312" w:hAnsi="仿宋_GB2312" w:eastAsia="仿宋_GB2312" w:cs="仿宋_GB2312"/>
          <w:color w:val="auto"/>
          <w:spacing w:val="0"/>
          <w:kern w:val="21"/>
          <w:sz w:val="32"/>
          <w:szCs w:val="32"/>
        </w:rPr>
        <w:t>工作</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lang w:val="en-US" w:eastAsia="zh-CN"/>
        </w:rPr>
        <w:t>列入全区“十大民生实事”统筹推进；区委书记、区长多次督导开展食品安全全链条风险排查整治和食品安全示范创建工作，</w:t>
      </w:r>
      <w:r>
        <w:rPr>
          <w:rFonts w:hint="eastAsia" w:ascii="仿宋_GB2312" w:hAnsi="仿宋_GB2312" w:eastAsia="仿宋_GB2312" w:cs="仿宋_GB2312"/>
          <w:color w:val="auto"/>
          <w:spacing w:val="0"/>
          <w:kern w:val="21"/>
          <w:sz w:val="32"/>
          <w:szCs w:val="32"/>
        </w:rPr>
        <w:t>镇（街）</w:t>
      </w:r>
      <w:r>
        <w:rPr>
          <w:rFonts w:hint="eastAsia" w:ascii="仿宋_GB2312" w:hAnsi="仿宋_GB2312" w:eastAsia="仿宋_GB2312" w:cs="仿宋_GB2312"/>
          <w:color w:val="auto"/>
          <w:spacing w:val="0"/>
          <w:kern w:val="21"/>
          <w:sz w:val="32"/>
          <w:szCs w:val="32"/>
          <w:lang w:eastAsia="zh-CN"/>
        </w:rPr>
        <w:t>党委、政府持续结合直接联系群众工作制度听取群众意见建议，及时解决群众普遍关心的食品安全问题。</w:t>
      </w:r>
      <w:r>
        <w:rPr>
          <w:rFonts w:hint="eastAsia" w:ascii="仿宋_GB2312" w:hAnsi="仿宋_GB2312" w:eastAsia="仿宋_GB2312" w:cs="仿宋_GB2312"/>
          <w:color w:val="auto"/>
          <w:spacing w:val="0"/>
          <w:kern w:val="21"/>
          <w:sz w:val="32"/>
          <w:szCs w:val="32"/>
          <w:lang w:val="en-US" w:eastAsia="zh-CN"/>
        </w:rPr>
        <w:t>实施党政领导干部食品安全责任清单和任务清单，将实施食品安全放心工程列入区年度重点督办事项，提高对区有关部门和镇政府（街道办）的食品安全工作考核比重，最高时分别达到3％和3.75％，有效强化了基层食品安全工作落实。</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hint="eastAsia" w:ascii="仿宋_GB2312" w:hAnsi="仿宋_GB2312" w:eastAsia="仿宋_GB2312" w:cs="仿宋_GB2312"/>
          <w:b/>
          <w:bCs/>
          <w:color w:val="auto"/>
          <w:spacing w:val="0"/>
          <w:kern w:val="21"/>
          <w:sz w:val="32"/>
          <w:szCs w:val="32"/>
          <w:lang w:val="en-US" w:eastAsia="zh-CN"/>
        </w:rPr>
      </w:pPr>
      <w:r>
        <w:rPr>
          <w:rFonts w:hint="eastAsia" w:ascii="仿宋_GB2312" w:hAnsi="仿宋_GB2312" w:eastAsia="仿宋_GB2312" w:cs="仿宋_GB2312"/>
          <w:b/>
          <w:bCs/>
          <w:color w:val="auto"/>
          <w:kern w:val="21"/>
          <w:sz w:val="32"/>
          <w:szCs w:val="32"/>
          <w:lang w:val="en-US" w:eastAsia="zh-CN" w:bidi="ar-SA"/>
        </w:rPr>
        <w:t>二是强化监管链条，治理水平扎实提升。</w:t>
      </w:r>
      <w:r>
        <w:rPr>
          <w:rFonts w:hint="eastAsia" w:ascii="仿宋_GB2312" w:hAnsi="仿宋_GB2312" w:eastAsia="仿宋_GB2312" w:cs="仿宋_GB2312"/>
          <w:color w:val="auto"/>
          <w:spacing w:val="0"/>
          <w:kern w:val="21"/>
          <w:sz w:val="32"/>
          <w:szCs w:val="32"/>
          <w:highlight w:val="none"/>
          <w:lang w:eastAsia="zh-CN"/>
        </w:rPr>
        <w:t>坚持</w:t>
      </w:r>
      <w:r>
        <w:rPr>
          <w:rFonts w:hint="eastAsia" w:ascii="仿宋_GB2312" w:hAnsi="仿宋_GB2312" w:eastAsia="仿宋_GB2312" w:cs="仿宋_GB2312"/>
          <w:color w:val="auto"/>
          <w:spacing w:val="0"/>
          <w:kern w:val="21"/>
          <w:sz w:val="32"/>
          <w:szCs w:val="32"/>
          <w:lang w:val="en-US" w:eastAsia="zh-CN"/>
        </w:rPr>
        <w:t>源头治理，强化食用农产品检测体系，是全省唯一的区、镇农检中心均具备定量检测资质的县（区）；推进特色产业和品牌培育，拥有部级、省级水产健康养殖示范场共13个，省级现代农业产业园2个，入选“粤字号”农业品牌目录的品牌产品36个，全区共有农业龙头企业51家。实施食品小作坊集中管理</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lang w:val="en-US" w:eastAsia="zh-CN"/>
        </w:rPr>
        <w:t>全区小作坊100%进驻食品集中加工中心，</w:t>
      </w:r>
      <w:r>
        <w:rPr>
          <w:rFonts w:hint="eastAsia" w:ascii="仿宋_GB2312" w:hAnsi="仿宋_GB2312" w:eastAsia="仿宋_GB2312" w:cs="仿宋_GB2312"/>
          <w:color w:val="auto"/>
          <w:spacing w:val="0"/>
          <w:kern w:val="21"/>
          <w:sz w:val="32"/>
          <w:szCs w:val="32"/>
          <w:lang w:eastAsia="zh-CN"/>
        </w:rPr>
        <w:t>剩油剩料集中回收处理。突出农贸市场</w:t>
      </w:r>
      <w:r>
        <w:rPr>
          <w:rFonts w:hint="eastAsia" w:ascii="仿宋_GB2312" w:hAnsi="仿宋_GB2312" w:eastAsia="仿宋_GB2312" w:cs="仿宋_GB2312"/>
          <w:color w:val="auto"/>
          <w:spacing w:val="0"/>
          <w:kern w:val="21"/>
          <w:sz w:val="32"/>
          <w:szCs w:val="32"/>
        </w:rPr>
        <w:t>食品追溯</w:t>
      </w:r>
      <w:r>
        <w:rPr>
          <w:rFonts w:hint="eastAsia" w:ascii="仿宋_GB2312" w:hAnsi="仿宋_GB2312" w:eastAsia="仿宋_GB2312" w:cs="仿宋_GB2312"/>
          <w:color w:val="auto"/>
          <w:spacing w:val="0"/>
          <w:kern w:val="21"/>
          <w:sz w:val="32"/>
          <w:szCs w:val="32"/>
          <w:lang w:eastAsia="zh-CN"/>
        </w:rPr>
        <w:t>和肉品安全保障，</w:t>
      </w:r>
      <w:r>
        <w:rPr>
          <w:rFonts w:hint="eastAsia" w:ascii="仿宋_GB2312" w:hAnsi="仿宋_GB2312" w:eastAsia="仿宋_GB2312" w:cs="仿宋_GB2312"/>
          <w:b w:val="0"/>
          <w:bCs w:val="0"/>
          <w:color w:val="auto"/>
          <w:spacing w:val="0"/>
          <w:kern w:val="21"/>
          <w:sz w:val="32"/>
          <w:szCs w:val="32"/>
          <w:highlight w:val="none"/>
          <w:lang w:val="en-US" w:eastAsia="zh-CN"/>
        </w:rPr>
        <w:t>实现流通环节熟食“生产——批发——零售”全过程追溯，</w:t>
      </w:r>
      <w:r>
        <w:rPr>
          <w:rFonts w:hint="eastAsia" w:ascii="仿宋_GB2312" w:hAnsi="仿宋_GB2312" w:eastAsia="仿宋_GB2312" w:cs="仿宋_GB2312"/>
          <w:color w:val="auto"/>
          <w:spacing w:val="0"/>
          <w:kern w:val="21"/>
          <w:sz w:val="32"/>
          <w:szCs w:val="32"/>
          <w:lang w:eastAsia="zh-CN"/>
        </w:rPr>
        <w:t>在</w:t>
      </w:r>
      <w:r>
        <w:rPr>
          <w:rFonts w:hint="eastAsia" w:ascii="仿宋_GB2312" w:hAnsi="仿宋_GB2312" w:eastAsia="仿宋_GB2312" w:cs="仿宋_GB2312"/>
          <w:color w:val="auto"/>
          <w:spacing w:val="0"/>
          <w:kern w:val="21"/>
          <w:sz w:val="32"/>
          <w:szCs w:val="32"/>
        </w:rPr>
        <w:t>全省首创“联盟采购、统一检测、源头把关”经营模式</w:t>
      </w:r>
      <w:r>
        <w:rPr>
          <w:rFonts w:hint="eastAsia" w:ascii="仿宋_GB2312" w:hAnsi="仿宋_GB2312" w:eastAsia="仿宋_GB2312" w:cs="仿宋_GB2312"/>
          <w:color w:val="auto"/>
          <w:spacing w:val="0"/>
          <w:kern w:val="21"/>
          <w:sz w:val="32"/>
          <w:szCs w:val="32"/>
          <w:lang w:eastAsia="zh-CN"/>
        </w:rPr>
        <w:t>和</w:t>
      </w:r>
      <w:r>
        <w:rPr>
          <w:rFonts w:hint="eastAsia" w:ascii="仿宋_GB2312" w:hAnsi="仿宋_GB2312" w:eastAsia="仿宋_GB2312" w:cs="仿宋_GB2312"/>
          <w:color w:val="auto"/>
          <w:spacing w:val="0"/>
          <w:kern w:val="21"/>
          <w:sz w:val="32"/>
          <w:szCs w:val="32"/>
          <w:lang w:val="en-US" w:eastAsia="zh-CN"/>
        </w:rPr>
        <w:t>率先实施生猪产品边角料“厂场挂钩、集中回收”闭环管理制度</w:t>
      </w:r>
      <w:r>
        <w:rPr>
          <w:rFonts w:hint="eastAsia" w:ascii="仿宋_GB2312" w:hAnsi="仿宋_GB2312" w:eastAsia="仿宋_GB2312" w:cs="仿宋_GB2312"/>
          <w:color w:val="auto"/>
          <w:spacing w:val="0"/>
          <w:kern w:val="21"/>
          <w:sz w:val="32"/>
          <w:szCs w:val="32"/>
          <w:lang w:eastAsia="zh-CN"/>
        </w:rPr>
        <w:t>。加强农村集体</w:t>
      </w:r>
      <w:r>
        <w:rPr>
          <w:rFonts w:hint="eastAsia" w:ascii="仿宋_GB2312" w:hAnsi="仿宋_GB2312" w:eastAsia="仿宋_GB2312" w:cs="仿宋_GB2312"/>
          <w:color w:val="auto"/>
          <w:spacing w:val="0"/>
          <w:kern w:val="21"/>
          <w:sz w:val="32"/>
          <w:szCs w:val="32"/>
          <w:lang w:val="en-US" w:eastAsia="zh-CN"/>
        </w:rPr>
        <w:t>聚餐风险防控，</w:t>
      </w:r>
      <w:r>
        <w:rPr>
          <w:rFonts w:hint="eastAsia" w:ascii="仿宋_GB2312" w:hAnsi="仿宋_GB2312" w:eastAsia="仿宋_GB2312" w:cs="仿宋_GB2312"/>
          <w:color w:val="auto"/>
          <w:spacing w:val="0"/>
          <w:kern w:val="21"/>
          <w:sz w:val="32"/>
          <w:szCs w:val="32"/>
          <w:highlight w:val="none"/>
          <w:lang w:val="en-US" w:eastAsia="zh-CN"/>
        </w:rPr>
        <w:t>采用“一建两创”（对集体聚餐点进行建档，创建规范化农村集体聚餐厨房和创建流动餐厅“红名单”制度）措施</w:t>
      </w:r>
      <w:r>
        <w:rPr>
          <w:rFonts w:hint="eastAsia" w:ascii="仿宋_GB2312" w:hAnsi="仿宋_GB2312" w:eastAsia="仿宋_GB2312" w:cs="仿宋_GB2312"/>
          <w:color w:val="auto"/>
          <w:spacing w:val="0"/>
          <w:kern w:val="21"/>
          <w:sz w:val="32"/>
          <w:szCs w:val="32"/>
          <w:lang w:val="en-US" w:eastAsia="zh-CN"/>
        </w:rPr>
        <w:t>破解风险管控难题。创新开展“粤菜师傅”进校园“安心食堂”活动，有效提升学校食堂食品安全管理水平和膳食营养安全。</w:t>
      </w:r>
      <w:r>
        <w:rPr>
          <w:rFonts w:hint="eastAsia" w:ascii="仿宋_GB2312" w:hAnsi="仿宋_GB2312" w:eastAsia="仿宋_GB2312" w:cs="仿宋_GB2312"/>
          <w:color w:val="auto"/>
          <w:spacing w:val="0"/>
          <w:kern w:val="21"/>
          <w:sz w:val="32"/>
          <w:szCs w:val="32"/>
          <w:lang w:eastAsia="zh-CN"/>
        </w:rPr>
        <w:t>深入打造“监督性抽检”、流动监管检测车“快检”、农贸市场和企业“自检”的三检联动检测体系，形成区、镇（街）、企业三级检测网</w:t>
      </w:r>
      <w:r>
        <w:rPr>
          <w:rFonts w:hint="eastAsia" w:ascii="仿宋_GB2312" w:hAnsi="仿宋_GB2312" w:eastAsia="仿宋_GB2312" w:cs="仿宋_GB2312"/>
          <w:color w:val="auto"/>
          <w:spacing w:val="0"/>
          <w:kern w:val="21"/>
          <w:sz w:val="32"/>
          <w:szCs w:val="32"/>
          <w:lang w:val="en-US" w:eastAsia="zh-CN"/>
        </w:rPr>
        <w:t>络。加强餐饮服务单位、餐饮具集中消毒企业联动监管，引导行业健康发展</w:t>
      </w:r>
      <w:r>
        <w:rPr>
          <w:rFonts w:hint="eastAsia" w:ascii="仿宋_GB2312" w:hAnsi="仿宋_GB2312" w:eastAsia="仿宋_GB2312" w:cs="仿宋_GB2312"/>
          <w:color w:val="auto"/>
          <w:spacing w:val="0"/>
          <w:kern w:val="2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1"/>
          <w:sz w:val="32"/>
          <w:szCs w:val="32"/>
          <w:lang w:val="en-US" w:eastAsia="zh-CN"/>
        </w:rPr>
      </w:pPr>
      <w:r>
        <w:rPr>
          <w:rFonts w:hint="eastAsia" w:ascii="仿宋_GB2312" w:hAnsi="仿宋_GB2312" w:eastAsia="仿宋_GB2312" w:cs="仿宋_GB2312"/>
          <w:b/>
          <w:bCs/>
          <w:color w:val="auto"/>
          <w:spacing w:val="0"/>
          <w:kern w:val="21"/>
          <w:sz w:val="32"/>
          <w:szCs w:val="32"/>
          <w:lang w:val="en-US" w:eastAsia="zh-CN"/>
        </w:rPr>
        <w:t>　　三是深化执法监管，违法势头有效遏制。</w:t>
      </w:r>
      <w:r>
        <w:rPr>
          <w:rFonts w:hint="eastAsia" w:ascii="仿宋_GB2312" w:hAnsi="仿宋_GB2312" w:eastAsia="仿宋_GB2312" w:cs="仿宋_GB2312"/>
          <w:color w:val="auto"/>
          <w:spacing w:val="0"/>
          <w:kern w:val="21"/>
          <w:sz w:val="32"/>
          <w:szCs w:val="32"/>
          <w:lang w:val="en-US" w:eastAsia="zh-CN"/>
        </w:rPr>
        <w:t>保持常态化打击的高压态势，聚焦重点食品、重点领域、重点场所开展专项整治，连续多年开展“清风”、打击食品安全违法犯罪“百日行动”、食品安全全链条风险排查治理等一系列力度大、措施硬的攻坚会战，“百日行动”成果多次位列全市第一，全年所办案件数多次居全市前列。深化“两法衔接”，加强市场监管部门、农业农村部门与公安机关、检察机关联动，形成涉刑案件迅速移送、重大案前充分会商、依职分工有机配合的对接机制，食品安全违法犯罪行为实现快侦、快捕、快判，查办了一批涉及食品的重案、大案，有效遏制食品行业乱象。</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0"/>
        <w:textAlignment w:val="auto"/>
        <w:rPr>
          <w:rFonts w:hint="eastAsia" w:ascii="仿宋_GB2312" w:hAnsi="仿宋_GB2312" w:eastAsia="仿宋_GB2312" w:cs="仿宋_GB2312"/>
          <w:color w:val="auto"/>
          <w:spacing w:val="0"/>
          <w:kern w:val="21"/>
          <w:sz w:val="32"/>
          <w:szCs w:val="32"/>
          <w:lang w:val="en-US" w:eastAsia="zh-CN" w:bidi="ar-SA"/>
        </w:rPr>
      </w:pPr>
      <w:r>
        <w:rPr>
          <w:rFonts w:hint="eastAsia" w:ascii="仿宋_GB2312" w:hAnsi="仿宋_GB2312" w:eastAsia="仿宋_GB2312" w:cs="仿宋_GB2312"/>
          <w:b/>
          <w:bCs/>
          <w:color w:val="auto"/>
          <w:spacing w:val="0"/>
          <w:kern w:val="21"/>
          <w:sz w:val="32"/>
          <w:szCs w:val="32"/>
          <w:lang w:val="en-US" w:eastAsia="zh-CN" w:bidi="ar-SA"/>
        </w:rPr>
        <w:t>四是坚持宣贯发动，共治格局加快形成。</w:t>
      </w:r>
      <w:r>
        <w:rPr>
          <w:rFonts w:hint="eastAsia" w:ascii="仿宋_GB2312" w:hAnsi="仿宋_GB2312" w:eastAsia="仿宋_GB2312" w:cs="仿宋_GB2312"/>
          <w:color w:val="auto"/>
          <w:spacing w:val="0"/>
          <w:kern w:val="21"/>
          <w:sz w:val="32"/>
          <w:szCs w:val="32"/>
          <w:lang w:val="en-US" w:eastAsia="zh-CN" w:bidi="ar-SA"/>
        </w:rPr>
        <w:t>积极发挥人大立法、法律监督和政协参政议政作用，区人大常委会开展《食品安全法》执法检查、督查农贸市场升级改造等工作，区政协就规范食品行业经营秩序等进行专题视察，提出建议和意见。指导全区社区（村居）成立食安办，配备食品安全协管队伍近1500人，对全区100个村居授予“南海区食品安全示范村居”称号，有力引导社区日常食品安全规范管理。组建区、镇（街）食品安全志愿者队伍开展志愿服务。委托协会组织开展食用农产品、食品等领域从业人员培训，组织行业代表相互参观学习优秀企业的典型做法，提升食品生产经营行业自律规范水平。坚持常态化、形象化普法释法和多渠道、多形式科普宣传，通过多种传统媒体、新媒体、户外宣传载体、现场活动、志愿服务、通讯短信等形式全方位宣传，2021年群众食品安全满意度达到84.2%。</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楷体_GB2312" w:hAnsi="楷体_GB2312" w:eastAsia="楷体_GB2312" w:cs="楷体_GB2312"/>
          <w:color w:val="auto"/>
          <w:kern w:val="21"/>
          <w:sz w:val="32"/>
          <w:szCs w:val="32"/>
          <w:lang w:val="en-US" w:eastAsia="zh-CN" w:bidi="ar-SA"/>
        </w:rPr>
      </w:pPr>
      <w:r>
        <w:rPr>
          <w:rFonts w:hint="eastAsia" w:ascii="楷体_GB2312" w:hAnsi="楷体_GB2312" w:eastAsia="楷体_GB2312" w:cs="楷体_GB2312"/>
          <w:color w:val="auto"/>
          <w:kern w:val="21"/>
          <w:sz w:val="32"/>
          <w:szCs w:val="32"/>
          <w:lang w:val="en-US" w:eastAsia="zh-CN" w:bidi="ar-SA"/>
        </w:rPr>
        <w:t>（二）创新经验做法</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kern w:val="21"/>
          <w:sz w:val="32"/>
          <w:szCs w:val="32"/>
          <w:lang w:val="en-US" w:eastAsia="zh-CN" w:bidi="ar-SA"/>
        </w:rPr>
      </w:pPr>
      <w:r>
        <w:rPr>
          <w:rFonts w:hint="eastAsia" w:ascii="仿宋_GB2312" w:hAnsi="仿宋_GB2312" w:eastAsia="仿宋_GB2312" w:cs="仿宋_GB2312"/>
          <w:b/>
          <w:bCs/>
          <w:color w:val="auto"/>
          <w:kern w:val="21"/>
          <w:sz w:val="32"/>
          <w:szCs w:val="32"/>
          <w:lang w:val="en-US" w:eastAsia="zh-CN" w:bidi="ar-SA"/>
        </w:rPr>
        <w:t>一是精准施策，构建差异化信用监管体系。</w:t>
      </w:r>
      <w:r>
        <w:rPr>
          <w:rFonts w:hint="eastAsia" w:ascii="仿宋_GB2312" w:hAnsi="仿宋_GB2312" w:eastAsia="仿宋_GB2312" w:cs="仿宋_GB2312"/>
          <w:b w:val="0"/>
          <w:bCs w:val="0"/>
          <w:color w:val="auto"/>
          <w:kern w:val="21"/>
          <w:sz w:val="32"/>
          <w:szCs w:val="32"/>
          <w:lang w:val="en-US" w:eastAsia="zh-CN" w:bidi="ar-SA"/>
        </w:rPr>
        <w:t>在全市率先开展“人工智能+双随机”智慧监管，通过对大数据分析梳理市场主体违法失信的特征，构建风险研判模型，以此为靶向开展差异性抽查，为食品企业分级分类监管提供重要依据。在全市率先出台食品相关市场主体信用风险分级分类管理工作指导意见，并建立诚信典型名单和失信主体名单，创设层次鲜明的修复机制，促进企业信用水平与风险分级管理有效衔接。在全省率先推出“星级市场”管理标准和“红黑榜”评选，有效推动市场守法诚信经营和长效管理，强化农贸市场所在社区属地责任落实。在全市率先尝试行业协会信用监管预警机制，邀请社会各行业诚信守业代表担任食品安全专家委员会委员，极力拓宽食品安全横向治理水平。实施深度政媒合作策略，在社会面广泛推开“扬正控负”传播，让失信者“一处失信，处处受限”的观念不断深入人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b/>
          <w:bCs/>
          <w:color w:val="auto"/>
          <w:kern w:val="21"/>
          <w:sz w:val="32"/>
          <w:szCs w:val="32"/>
          <w:lang w:val="en-US" w:eastAsia="zh-CN"/>
        </w:rPr>
        <w:t>二是可溯可视，开</w:t>
      </w:r>
      <w:r>
        <w:rPr>
          <w:rFonts w:hint="eastAsia" w:ascii="仿宋_GB2312" w:hAnsi="仿宋_GB2312" w:eastAsia="仿宋_GB2312" w:cs="仿宋_GB2312"/>
          <w:b/>
          <w:bCs/>
          <w:color w:val="auto"/>
          <w:kern w:val="21"/>
          <w:sz w:val="32"/>
          <w:szCs w:val="32"/>
          <w:lang w:val="en-US" w:eastAsia="zh-CN" w:bidi="ar-SA"/>
        </w:rPr>
        <w:t>创“互联网+智慧监管”新局</w:t>
      </w:r>
      <w:r>
        <w:rPr>
          <w:rFonts w:hint="eastAsia" w:ascii="仿宋_GB2312" w:hAnsi="仿宋_GB2312" w:eastAsia="仿宋_GB2312" w:cs="仿宋_GB2312"/>
          <w:b/>
          <w:bCs/>
          <w:color w:val="auto"/>
          <w:kern w:val="21"/>
          <w:sz w:val="32"/>
          <w:szCs w:val="32"/>
          <w:lang w:val="en-US" w:eastAsia="zh-CN"/>
        </w:rPr>
        <w:t>。</w:t>
      </w:r>
      <w:r>
        <w:rPr>
          <w:rFonts w:hint="eastAsia" w:ascii="仿宋_GB2312" w:hAnsi="仿宋_GB2312" w:eastAsia="仿宋_GB2312" w:cs="仿宋_GB2312"/>
          <w:b w:val="0"/>
          <w:bCs w:val="0"/>
          <w:color w:val="auto"/>
          <w:kern w:val="21"/>
          <w:sz w:val="32"/>
          <w:szCs w:val="32"/>
          <w:lang w:val="en-US" w:eastAsia="zh-CN" w:bidi="ar-SA"/>
        </w:rPr>
        <w:t>在全省率先建设熟食、湿米粉溯源系统，建</w:t>
      </w:r>
      <w:r>
        <w:rPr>
          <w:rFonts w:hint="eastAsia" w:ascii="仿宋_GB2312" w:hAnsi="仿宋_GB2312" w:eastAsia="仿宋_GB2312" w:cs="仿宋_GB2312"/>
          <w:color w:val="auto"/>
          <w:kern w:val="21"/>
          <w:sz w:val="32"/>
          <w:szCs w:val="32"/>
          <w:lang w:val="en-US" w:eastAsia="zh-CN"/>
        </w:rPr>
        <w:t>立起来源可溯、去向可查、责任可究的全方位追溯体系。在全省率先推进农贸市场升级智能化改造，成为监管执法和疫情防控的有力手段。在全省率先建设食品安全检测大数据风险分析预警系统，实现风险预警预报和事前管控功能，构筑消费安全屏障。推进进口冷链食品追溯管理平台应用，通过该平台对6批次疑似涉阳进口冷链产品开展溯源调查和应急处置，及时消除了风险隐患。100%实现食品销售单位风险分级动态管理，通过“食品销售风险分级管理小程序”记录监管情况，做到监管资源的科学配置和有效利用。在全区餐饮单位推进“阳光餐饮”建设，集明厨亮灶、AI智慧监管、数据分析于一体的餐饮安全监管平台基本覆盖全部餐饮单位，推动餐饮行业发展更加规范健康。在“城市大脑”系统中专列食品安全专题数据库，采集相关数据表48张，合计数据记录3496万条，创新性地构建起生产源头可溯、销售流程可视、消费风险可控的闭环监管全链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3" w:firstLineChars="200"/>
        <w:textAlignment w:val="auto"/>
        <w:rPr>
          <w:rFonts w:hint="eastAsia" w:ascii="仿宋_GB2312" w:hAnsi="仿宋_GB2312" w:eastAsia="仿宋_GB2312" w:cs="仿宋_GB2312"/>
          <w:b/>
          <w:bCs/>
          <w:color w:val="auto"/>
          <w:kern w:val="21"/>
          <w:sz w:val="32"/>
          <w:szCs w:val="32"/>
          <w:lang w:val="en-US" w:eastAsia="zh-CN"/>
        </w:rPr>
      </w:pPr>
      <w:r>
        <w:rPr>
          <w:rFonts w:hint="eastAsia" w:ascii="仿宋_GB2312" w:hAnsi="仿宋_GB2312" w:eastAsia="仿宋_GB2312" w:cs="仿宋_GB2312"/>
          <w:b/>
          <w:bCs/>
          <w:color w:val="auto"/>
          <w:kern w:val="21"/>
          <w:sz w:val="32"/>
          <w:szCs w:val="32"/>
          <w:lang w:val="en-US" w:eastAsia="zh-CN"/>
        </w:rPr>
        <w:t>三是两法衔接，有力打击食品安全违法犯罪行为。</w:t>
      </w:r>
      <w:r>
        <w:rPr>
          <w:rFonts w:hint="eastAsia" w:ascii="仿宋_GB2312" w:hAnsi="仿宋_GB2312" w:eastAsia="仿宋_GB2312" w:cs="仿宋_GB2312"/>
          <w:b w:val="0"/>
          <w:bCs w:val="0"/>
          <w:color w:val="auto"/>
          <w:kern w:val="21"/>
          <w:sz w:val="32"/>
          <w:szCs w:val="32"/>
          <w:lang w:val="en-US" w:eastAsia="zh-CN"/>
        </w:rPr>
        <w:t>建立行刑纪融合、通报、沟通、研商、协作等机制，保障食品执法行政处罚、纪检监督、刑事衔接到位，追究及时，预防失职渎职等违纪行为发生。建立多部门联席会议工作机制，执法部门、公安机关、纪检监察部门定期召开会议，形成案前会商研判、提前介入，现场各司其责，事后分工配合的良性工作局面。定期召开食品联合执法会议，以会代训加强执法交流，针对基层执法人员实施“互动式”培训带教，开展典型案例执法实务交流，进一步提升联合执法业务水平。打击违法犯罪行为成效显著，多个案件被国家、省、市评为执法典型案例。</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3" w:firstLineChars="200"/>
        <w:textAlignment w:val="auto"/>
        <w:rPr>
          <w:rFonts w:hint="eastAsia" w:ascii="仿宋_GB2312" w:hAnsi="仿宋_GB2312" w:eastAsia="仿宋_GB2312" w:cs="仿宋_GB2312"/>
          <w:b w:val="0"/>
          <w:bCs w:val="0"/>
          <w:color w:val="auto"/>
          <w:kern w:val="21"/>
          <w:sz w:val="32"/>
          <w:szCs w:val="32"/>
          <w:lang w:val="en-US" w:eastAsia="zh-CN"/>
        </w:rPr>
      </w:pPr>
      <w:r>
        <w:rPr>
          <w:rFonts w:hint="eastAsia" w:ascii="仿宋_GB2312" w:hAnsi="仿宋_GB2312" w:eastAsia="仿宋_GB2312" w:cs="仿宋_GB2312"/>
          <w:b/>
          <w:bCs/>
          <w:color w:val="auto"/>
          <w:kern w:val="21"/>
          <w:sz w:val="32"/>
          <w:szCs w:val="32"/>
          <w:lang w:val="en-US" w:eastAsia="zh-CN"/>
        </w:rPr>
        <w:t>四是固本培元，大幅提升基层监管队伍治理效能。</w:t>
      </w:r>
      <w:r>
        <w:rPr>
          <w:rFonts w:hint="eastAsia" w:ascii="仿宋_GB2312" w:hAnsi="仿宋_GB2312" w:eastAsia="仿宋_GB2312" w:cs="仿宋_GB2312"/>
          <w:b w:val="0"/>
          <w:bCs w:val="0"/>
          <w:color w:val="auto"/>
          <w:kern w:val="21"/>
          <w:sz w:val="32"/>
          <w:szCs w:val="32"/>
          <w:lang w:val="en-US" w:eastAsia="zh-CN"/>
        </w:rPr>
        <w:t>充实领导班子力量，配强专业人才，标准设岗并明晰职责、考核要求，打造现代化的食品专业监管人才队伍。建立健全区、镇（街）、社区（村居）三级监管网络体系，区、镇（街）两级分别成立食安委及食安办，全区市场监管系统共配备食品安全监管人员约300人，各社区（村居）成立食安办并配备食品安全协管员近1500人，将监管触角延伸到最后一公里。通过讲授、研讨、体验、案例分析、现场实操等多种形式的培训带教，建立区派员对镇（街）监管执法人员进行培养带教、镇（街）市场监管所选员到区市场监管局跟岗学习“沉浸式”互派锻炼机制，提升了基层执法监管承接能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3" w:firstLineChars="200"/>
        <w:textAlignment w:val="auto"/>
        <w:rPr>
          <w:rFonts w:hint="eastAsia" w:ascii="仿宋_GB2312" w:hAnsi="仿宋_GB2312" w:eastAsia="仿宋_GB2312" w:cs="仿宋_GB2312"/>
          <w:b w:val="0"/>
          <w:bCs w:val="0"/>
          <w:color w:val="auto"/>
          <w:kern w:val="21"/>
          <w:sz w:val="32"/>
          <w:szCs w:val="32"/>
          <w:lang w:val="en-US" w:eastAsia="zh-CN"/>
        </w:rPr>
      </w:pPr>
      <w:r>
        <w:rPr>
          <w:rFonts w:hint="eastAsia" w:ascii="仿宋_GB2312" w:hAnsi="仿宋_GB2312" w:eastAsia="仿宋_GB2312" w:cs="仿宋_GB2312"/>
          <w:b/>
          <w:bCs/>
          <w:color w:val="auto"/>
          <w:kern w:val="21"/>
          <w:sz w:val="32"/>
          <w:szCs w:val="32"/>
          <w:lang w:val="en-US" w:eastAsia="zh-CN"/>
        </w:rPr>
        <w:t>五是改革创新，成功打造“三小”治理“南海样板”。</w:t>
      </w:r>
      <w:r>
        <w:rPr>
          <w:rFonts w:hint="eastAsia" w:ascii="仿宋_GB2312" w:hAnsi="仿宋_GB2312" w:eastAsia="仿宋_GB2312" w:cs="仿宋_GB2312"/>
          <w:b w:val="0"/>
          <w:bCs w:val="0"/>
          <w:color w:val="auto"/>
          <w:kern w:val="21"/>
          <w:sz w:val="32"/>
          <w:szCs w:val="32"/>
          <w:lang w:val="en-US" w:eastAsia="zh-CN"/>
        </w:rPr>
        <w:t>在全国首次全面实施食品生产加工小作坊集中监管，在全省县级区域首次出台小作坊管理措施，推进“十个统一”的管理制度；实施全国首份小作坊联盟标准，制定全国首个小作坊集中管理标准体系，将《南海小作坊集中管理》上升为团体标准；开发全国首个小作坊产品溯源系统，建成全国首个全覆盖小作坊视频监控系统（“阳光车间”）；建立食品集中加工中心准入退出机制，明确各部门监管职能，对中心开展食品安全、燃气、生态环境等多方面的综合治理，食品集中加工中心实现规范化、园区化、工业化、集约化发展。2015年，南海模式被写入《广东省食品生产加工小作坊和食品摊贩管理条例》，南海经验成为各地食品小作坊管理的首选模式。实施小餐饮、食品摊贩集中经营备案管理，开展小餐饮、食品摊贩食品安全规范提升点（区）建设，破解“三小”小、多、散的监管痛点难题。对食品摊贩实施“两个划定、四个制度、六个统一”规范管理等，继续有效推动“三小”提质升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outlineLvl w:val="9"/>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b/>
          <w:bCs/>
          <w:color w:val="auto"/>
          <w:spacing w:val="0"/>
          <w:kern w:val="21"/>
          <w:sz w:val="32"/>
          <w:szCs w:val="32"/>
          <w:lang w:val="en-US" w:eastAsia="zh-CN"/>
        </w:rPr>
        <w:t>六是压点提质，形成水产养殖源头安全特色项目。</w:t>
      </w:r>
      <w:r>
        <w:rPr>
          <w:rFonts w:hint="eastAsia" w:ascii="仿宋_GB2312" w:hAnsi="仿宋_GB2312" w:eastAsia="仿宋_GB2312" w:cs="仿宋_GB2312"/>
          <w:color w:val="auto"/>
          <w:spacing w:val="0"/>
          <w:kern w:val="21"/>
          <w:sz w:val="32"/>
          <w:szCs w:val="32"/>
          <w:lang w:val="en-US" w:eastAsia="zh-CN"/>
        </w:rPr>
        <w:t>成功创建国家级水产健康养殖和生态养殖示范区，开启从产业布局——行业管理——产业服务体系的水产养殖全链条安全发展模式，目前建成健康养殖核心示范区1.5万亩，创建省级以上水产健康养殖示范场13家，拥有“中国淡水鱼苗之乡”“中国加州鲈之乡”国字号2个和佛山首个农业集体商标（“九江鱼苗”），“九江鱼花”品牌远近闻名，九江镇被认定为省级“一镇一业”水产苗种品牌镇。同时，加大科研支撑力度，推行以九江镇水产种业（种苗）为试点的育苗、养殖、流通、使用全流程5G溯源模式，深化建设九江鱼花产业数字平台项目，全方位建设“良种良养良销”体系，为发展现代生态渔业全产业链提供源头支撑，在源头为水产品安全提供了有力保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outlineLvl w:val="9"/>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b/>
          <w:bCs/>
          <w:color w:val="auto"/>
          <w:spacing w:val="0"/>
          <w:kern w:val="21"/>
          <w:sz w:val="32"/>
          <w:szCs w:val="32"/>
          <w:lang w:val="en-US" w:eastAsia="zh-CN"/>
        </w:rPr>
        <w:t>七是改造升级，有效探索市场高质长效发展新路径。</w:t>
      </w:r>
      <w:r>
        <w:rPr>
          <w:rFonts w:hint="eastAsia" w:ascii="仿宋_GB2312" w:hAnsi="仿宋_GB2312" w:eastAsia="仿宋_GB2312" w:cs="仿宋_GB2312"/>
          <w:color w:val="auto"/>
          <w:spacing w:val="0"/>
          <w:kern w:val="21"/>
          <w:sz w:val="32"/>
          <w:szCs w:val="32"/>
          <w:lang w:val="en-US" w:eastAsia="zh-CN"/>
        </w:rPr>
        <w:t>将农贸市场升级改造纳入南海区“十大民生实事”高位推动，计划投入财政资金2.5亿元，撬动社会资本投入6亿元。实施差异化补贴，创新推出“早改早补贴、早改多补贴”的激励政策，已完成76家市场的升改工作，进度在全市第一、全省领先。在全省率先出台《村级农贸市场集体资产交易工作指引（试行）》，提高村级市场承租方的准入门槛，有效破解原有“价高者得”引发“重收租、轻管理”的长期性难题。探索出“升级改造强基、长效共治固本，标准引领带跑”的农贸市场高质量长效发展新路径，其中，推行智信市场综合管理的做法经验获得市级建议复制推广，有关系统将升级为全市通用的智能化市场综合管理平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outlineLvl w:val="9"/>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b/>
          <w:bCs/>
          <w:color w:val="auto"/>
          <w:spacing w:val="0"/>
          <w:kern w:val="21"/>
          <w:sz w:val="32"/>
          <w:szCs w:val="32"/>
          <w:lang w:val="en-US" w:eastAsia="zh-CN"/>
        </w:rPr>
        <w:t>八是源头把控，实现重要食品质量管控全过程。</w:t>
      </w:r>
      <w:r>
        <w:rPr>
          <w:rFonts w:hint="eastAsia" w:ascii="仿宋_GB2312" w:hAnsi="仿宋_GB2312" w:eastAsia="仿宋_GB2312" w:cs="仿宋_GB2312"/>
          <w:color w:val="auto"/>
          <w:spacing w:val="0"/>
          <w:kern w:val="21"/>
          <w:sz w:val="32"/>
          <w:szCs w:val="32"/>
          <w:lang w:val="en-US" w:eastAsia="zh-CN"/>
        </w:rPr>
        <w:t>开发全国首个小作坊产品溯源系统，熟食产品凭含追溯二维码的销售票据上市销售。引入具备无线远程数据传输和票据打印功能的电子秤，实现小作坊进货、销售台账的电子化、规范化。在全区熟食店全面推行“一店一码”，实现全区熟食“生产——批发——零售”全环节追溯，</w:t>
      </w:r>
      <w:r>
        <w:rPr>
          <w:rFonts w:hint="eastAsia" w:ascii="仿宋_GB2312" w:hAnsi="仿宋_GB2312" w:eastAsia="仿宋_GB2312" w:cs="仿宋_GB2312"/>
          <w:color w:val="auto"/>
          <w:kern w:val="21"/>
          <w:sz w:val="32"/>
          <w:szCs w:val="32"/>
          <w:lang w:val="en-US" w:eastAsia="zh-CN"/>
        </w:rPr>
        <w:t>获全市推广使用并作为省小作坊溯源管理的模板由省市场监管局提级部署。</w:t>
      </w:r>
      <w:r>
        <w:rPr>
          <w:rFonts w:hint="eastAsia" w:ascii="仿宋_GB2312" w:hAnsi="仿宋_GB2312" w:eastAsia="仿宋_GB2312" w:cs="仿宋_GB2312"/>
          <w:color w:val="auto"/>
          <w:spacing w:val="0"/>
          <w:kern w:val="21"/>
          <w:sz w:val="32"/>
          <w:szCs w:val="32"/>
          <w:lang w:val="en-US" w:eastAsia="zh-CN"/>
        </w:rPr>
        <w:t>以环球水产批发市场为省试点先行建设“食用农产品溯源系统”，有效破解水产品数据采集难、凭证统一难、产品溯源难、日常监管难等难题，为水产品质量安全筑起安全堤坝。开发湿米粉溯源系统，创新增设生产投料和出厂检验数据的录入功能，实现企业台账信息电子化和产品生产全过程追溯，在生产环节构筑起湿米粉安全的“防护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outlineLvl w:val="9"/>
        <w:rPr>
          <w:rFonts w:hint="eastAsia" w:ascii="仿宋_GB2312" w:hAnsi="仿宋_GB2312" w:eastAsia="仿宋_GB2312" w:cs="仿宋_GB2312"/>
          <w:kern w:val="21"/>
          <w:sz w:val="32"/>
          <w:szCs w:val="32"/>
          <w:lang w:val="en-US" w:eastAsia="zh-CN"/>
        </w:rPr>
      </w:pPr>
      <w:r>
        <w:rPr>
          <w:rFonts w:hint="eastAsia" w:ascii="仿宋_GB2312" w:hAnsi="仿宋_GB2312" w:eastAsia="仿宋_GB2312" w:cs="仿宋_GB2312"/>
          <w:b/>
          <w:bCs/>
          <w:color w:val="auto"/>
          <w:spacing w:val="0"/>
          <w:kern w:val="21"/>
          <w:sz w:val="32"/>
          <w:szCs w:val="32"/>
          <w:lang w:val="en-US" w:eastAsia="zh-CN"/>
        </w:rPr>
        <w:t>九是多维检测，织牢织密食品农产品安全网络。</w:t>
      </w:r>
      <w:r>
        <w:rPr>
          <w:rFonts w:hint="eastAsia" w:ascii="仿宋_GB2312" w:hAnsi="仿宋_GB2312" w:eastAsia="仿宋_GB2312" w:cs="仿宋_GB2312"/>
          <w:color w:val="auto"/>
          <w:spacing w:val="0"/>
          <w:kern w:val="21"/>
          <w:sz w:val="32"/>
          <w:szCs w:val="32"/>
          <w:lang w:val="en-US" w:eastAsia="zh-CN"/>
        </w:rPr>
        <w:t>以打造“食品安全检测大数据风险分析系统”平台为重心，在农贸市场、集体配餐中心、学校食堂、食材配送单位、大型餐馆等涉及重点人群、重点区域的单位，设立908个企业自检监测点，实现食品安全问题早发现、早提示、早处置。以“自检、法检、他检”为结构模式，建立快检吹哨、法检跟进的运行机制，利用大数据分析对快检发现的问题食品进行跟踪，以快检不合格检出率较高的产品及项目为导向开展专项监督抽检，利用抽检的靶向性精准定位不合格品种，以高效率促进监管服务水平提升。加大“他检”的力度和范围，开展“你送我检”“你选我检”活动，不断扩大检测覆盖面，多途径多方式与群众加强抽检互动，食品监管工作连民心、接地气。</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楷体_GB2312" w:hAnsi="楷体_GB2312" w:eastAsia="楷体_GB2312" w:cs="楷体_GB2312"/>
          <w:color w:val="auto"/>
          <w:kern w:val="21"/>
          <w:sz w:val="32"/>
          <w:szCs w:val="32"/>
          <w:lang w:val="en-US" w:eastAsia="zh-CN" w:bidi="ar-SA"/>
        </w:rPr>
      </w:pPr>
      <w:r>
        <w:rPr>
          <w:rFonts w:hint="eastAsia" w:ascii="楷体_GB2312" w:hAnsi="楷体_GB2312" w:eastAsia="楷体_GB2312" w:cs="楷体_GB2312"/>
          <w:color w:val="auto"/>
          <w:kern w:val="21"/>
          <w:sz w:val="32"/>
          <w:szCs w:val="32"/>
          <w:lang w:val="en-US" w:eastAsia="zh-CN" w:bidi="ar-SA"/>
        </w:rPr>
        <w:t>（三）下一步工作建议</w:t>
      </w:r>
    </w:p>
    <w:p>
      <w:pPr>
        <w:pStyle w:val="19"/>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jc w:val="both"/>
        <w:textAlignment w:val="auto"/>
        <w:outlineLvl w:val="9"/>
        <w:rPr>
          <w:rFonts w:hint="eastAsia" w:ascii="仿宋_GB2312" w:hAnsi="仿宋_GB2312" w:eastAsia="仿宋_GB2312" w:cs="仿宋_GB2312"/>
          <w:color w:val="auto"/>
          <w:spacing w:val="0"/>
          <w:kern w:val="21"/>
          <w:sz w:val="32"/>
          <w:szCs w:val="32"/>
          <w:lang w:val="en-US" w:eastAsia="zh-CN" w:bidi="ar-SA"/>
        </w:rPr>
      </w:pPr>
      <w:r>
        <w:rPr>
          <w:rFonts w:hint="eastAsia" w:ascii="仿宋_GB2312" w:hAnsi="仿宋_GB2312" w:eastAsia="仿宋_GB2312" w:cs="仿宋_GB2312"/>
          <w:b/>
          <w:bCs/>
          <w:color w:val="auto"/>
          <w:spacing w:val="0"/>
          <w:kern w:val="21"/>
          <w:sz w:val="32"/>
          <w:szCs w:val="32"/>
          <w:lang w:val="en-US" w:eastAsia="zh-CN" w:bidi="ar-SA"/>
        </w:rPr>
        <w:t>一是进一步落实责任，防范化解食品安全风险隐患。</w:t>
      </w:r>
      <w:r>
        <w:rPr>
          <w:rFonts w:hint="eastAsia" w:ascii="仿宋_GB2312" w:hAnsi="仿宋_GB2312" w:eastAsia="仿宋_GB2312" w:cs="仿宋_GB2312"/>
          <w:color w:val="auto"/>
          <w:spacing w:val="0"/>
          <w:kern w:val="21"/>
          <w:sz w:val="32"/>
          <w:szCs w:val="32"/>
          <w:lang w:val="en-US" w:eastAsia="zh-CN" w:bidi="ar-SA"/>
        </w:rPr>
        <w:t>始终坚持以人民为中心，以高度的使命感、责任感、紧迫感，落实好食品安全“党政同责、一岗双责”责任制。做到守土有责，认真履职尽责，重视食品安全监管人、财、物投入，</w:t>
      </w:r>
      <w:bookmarkStart w:id="4" w:name="_GoBack"/>
      <w:bookmarkEnd w:id="4"/>
      <w:r>
        <w:rPr>
          <w:rFonts w:hint="eastAsia" w:ascii="仿宋_GB2312" w:hAnsi="仿宋_GB2312" w:eastAsia="仿宋_GB2312" w:cs="仿宋_GB2312"/>
          <w:color w:val="auto"/>
          <w:spacing w:val="0"/>
          <w:kern w:val="21"/>
          <w:sz w:val="32"/>
          <w:szCs w:val="32"/>
          <w:lang w:val="en-US" w:eastAsia="zh-CN" w:bidi="ar-SA"/>
        </w:rPr>
        <w:t>结合食品新业态特点、新形势挑战加强监督检查，盯紧问题难点扎实开展风险防范和隐患治理，履行好监管责任和属地责任，牢牢守住食品安全底线。</w:t>
      </w:r>
    </w:p>
    <w:p>
      <w:pPr>
        <w:pStyle w:val="19"/>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jc w:val="both"/>
        <w:textAlignment w:val="auto"/>
        <w:outlineLvl w:val="9"/>
        <w:rPr>
          <w:rFonts w:hint="eastAsia" w:ascii="仿宋_GB2312" w:hAnsi="仿宋_GB2312" w:eastAsia="仿宋_GB2312" w:cs="仿宋_GB2312"/>
          <w:b/>
          <w:bCs/>
          <w:color w:val="auto"/>
          <w:spacing w:val="0"/>
          <w:kern w:val="21"/>
          <w:sz w:val="32"/>
          <w:szCs w:val="32"/>
          <w:lang w:val="en-US" w:eastAsia="zh-CN" w:bidi="ar-SA"/>
        </w:rPr>
      </w:pPr>
      <w:r>
        <w:rPr>
          <w:rFonts w:hint="eastAsia" w:ascii="仿宋_GB2312" w:hAnsi="仿宋_GB2312" w:eastAsia="仿宋_GB2312" w:cs="仿宋_GB2312"/>
          <w:b/>
          <w:bCs/>
          <w:color w:val="auto"/>
          <w:spacing w:val="0"/>
          <w:kern w:val="21"/>
          <w:sz w:val="32"/>
          <w:szCs w:val="32"/>
          <w:lang w:val="en-US" w:eastAsia="zh-CN" w:bidi="ar-SA"/>
        </w:rPr>
        <w:t>二是进一步提升效能，有效推动食品安全责任落实。</w:t>
      </w:r>
      <w:r>
        <w:rPr>
          <w:rFonts w:hint="eastAsia" w:ascii="仿宋_GB2312" w:hAnsi="仿宋_GB2312" w:eastAsia="仿宋_GB2312" w:cs="仿宋_GB2312"/>
          <w:color w:val="auto"/>
          <w:spacing w:val="0"/>
          <w:kern w:val="21"/>
          <w:sz w:val="32"/>
          <w:szCs w:val="32"/>
          <w:lang w:val="en-US" w:eastAsia="zh-CN" w:bidi="ar-SA"/>
        </w:rPr>
        <w:t>建立健全以“双随机、一公开”为基本手段、以重点监管为补充、以信用监管为基础的新型监管机制，深入落实日常检查、飞行检查、专项检查、风险监测相互补充，“双随机、一公开”和“网格化”监管相互促进，行政执法与刑事司法相互衔接的食品安全工作机制，完善“从农田到餐桌”全链条全过程食品安全监管。创新食品安全重点领域、关键环节智慧化监管，综合运用互联网技术、大数据思维，用好用活信息化、无纸化监管平台，提升监管水平和效能。</w:t>
      </w:r>
    </w:p>
    <w:p>
      <w:pPr>
        <w:pStyle w:val="19"/>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jc w:val="both"/>
        <w:textAlignment w:val="auto"/>
        <w:outlineLvl w:val="9"/>
        <w:rPr>
          <w:rFonts w:hint="eastAsia" w:ascii="仿宋_GB2312" w:hAnsi="仿宋_GB2312" w:eastAsia="仿宋_GB2312" w:cs="仿宋_GB2312"/>
          <w:b/>
          <w:bCs/>
          <w:color w:val="auto"/>
          <w:spacing w:val="0"/>
          <w:kern w:val="21"/>
          <w:sz w:val="32"/>
          <w:szCs w:val="32"/>
          <w:lang w:val="en-US" w:eastAsia="zh-CN" w:bidi="ar-SA"/>
        </w:rPr>
      </w:pPr>
      <w:r>
        <w:rPr>
          <w:rFonts w:hint="eastAsia" w:ascii="仿宋_GB2312" w:hAnsi="仿宋_GB2312" w:eastAsia="仿宋_GB2312" w:cs="仿宋_GB2312"/>
          <w:b/>
          <w:bCs/>
          <w:color w:val="auto"/>
          <w:spacing w:val="0"/>
          <w:kern w:val="21"/>
          <w:sz w:val="32"/>
          <w:szCs w:val="32"/>
          <w:lang w:val="en-US" w:eastAsia="zh-CN" w:bidi="ar-SA"/>
        </w:rPr>
        <w:t>三是进一步凝聚合力，构建食品安全社会共治格局。</w:t>
      </w:r>
      <w:r>
        <w:rPr>
          <w:rFonts w:hint="eastAsia" w:ascii="仿宋_GB2312" w:hAnsi="仿宋_GB2312" w:eastAsia="仿宋_GB2312" w:cs="仿宋_GB2312"/>
          <w:b w:val="0"/>
          <w:bCs w:val="0"/>
          <w:color w:val="auto"/>
          <w:spacing w:val="0"/>
          <w:kern w:val="21"/>
          <w:sz w:val="32"/>
          <w:szCs w:val="32"/>
          <w:lang w:val="en-US" w:eastAsia="zh-CN" w:bidi="ar-SA"/>
        </w:rPr>
        <w:t>优化政府与企业的关系，通过沟通调研、从业培训、建章立制、信用监管、执法检查等做好企业服务和管理，引导食品生产经营者把保障食品安全作为生存发展的首要任务，全面督导企业当好第一责任人。积极发动群众支持和参与，提高群众食品安全意识，畅通沟通渠道，让群众有机会、有条件、有习惯参与社会管理，共同监督食品从业者。发挥行业协会自律，让食品行业从业者在协会中互相监督，让遵法守纪者畅通无阻，让违法失德者寸步难行。</w:t>
      </w:r>
    </w:p>
    <w:p>
      <w:pPr>
        <w:pStyle w:val="19"/>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jc w:val="both"/>
        <w:textAlignment w:val="auto"/>
        <w:outlineLvl w:val="9"/>
        <w:rPr>
          <w:rFonts w:hint="eastAsia" w:ascii="仿宋_GB2312" w:hAnsi="仿宋_GB2312" w:eastAsia="仿宋_GB2312" w:cs="仿宋_GB2312"/>
          <w:b/>
          <w:bCs/>
          <w:color w:val="auto"/>
          <w:spacing w:val="0"/>
          <w:kern w:val="21"/>
          <w:sz w:val="32"/>
          <w:szCs w:val="32"/>
          <w:lang w:val="en-US" w:eastAsia="zh-CN" w:bidi="ar-SA"/>
        </w:rPr>
      </w:pPr>
      <w:r>
        <w:rPr>
          <w:rFonts w:hint="eastAsia" w:ascii="仿宋_GB2312" w:hAnsi="仿宋_GB2312" w:eastAsia="仿宋_GB2312" w:cs="仿宋_GB2312"/>
          <w:b/>
          <w:bCs/>
          <w:color w:val="auto"/>
          <w:spacing w:val="0"/>
          <w:kern w:val="21"/>
          <w:sz w:val="32"/>
          <w:szCs w:val="32"/>
          <w:lang w:val="en-US" w:eastAsia="zh-CN" w:bidi="ar-SA"/>
        </w:rPr>
        <w:t>四是进一步长效监管，坚持谋取食品安全长治久安。</w:t>
      </w:r>
      <w:r>
        <w:rPr>
          <w:rFonts w:hint="eastAsia" w:ascii="仿宋_GB2312" w:hAnsi="仿宋_GB2312" w:eastAsia="仿宋_GB2312" w:cs="仿宋_GB2312"/>
          <w:b w:val="0"/>
          <w:bCs w:val="0"/>
          <w:color w:val="auto"/>
          <w:spacing w:val="0"/>
          <w:kern w:val="21"/>
          <w:sz w:val="32"/>
          <w:szCs w:val="32"/>
          <w:lang w:val="en-US" w:eastAsia="zh-CN" w:bidi="ar-SA"/>
        </w:rPr>
        <w:t>坚持以创建促发展的理念，在全链条、成体系落实食品安全措施办法的基础上，高标准、严要求检查推进食品安全各项工作，持续开展信用体系建设、风险防控体系建设、应急体系建设、社会共治体系建设和责任追究体系建设，形成长效机制，打造好地区食品产业良好发展环境，提升食品安全保障水平，推动地方经济高质量发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pacing w:val="0"/>
          <w:kern w:val="21"/>
          <w:sz w:val="32"/>
          <w:szCs w:val="32"/>
          <w:lang w:val="en-US" w:eastAsia="zh-CN" w:bidi="ar-SA"/>
        </w:rPr>
      </w:pPr>
      <w:r>
        <w:rPr>
          <w:rFonts w:hint="eastAsia" w:ascii="黑体" w:hAnsi="黑体" w:eastAsia="黑体" w:cs="黑体"/>
          <w:spacing w:val="0"/>
          <w:kern w:val="21"/>
          <w:sz w:val="32"/>
          <w:szCs w:val="32"/>
          <w:lang w:val="en-US" w:eastAsia="zh-CN" w:bidi="ar-SA"/>
        </w:rPr>
        <w:t>三、市级初评意见</w:t>
      </w:r>
      <w:r>
        <w:rPr>
          <w:rFonts w:hint="eastAsia" w:ascii="仿宋_GB2312" w:hAnsi="仿宋_GB2312" w:eastAsia="仿宋_GB2312" w:cs="仿宋_GB2312"/>
          <w:spacing w:val="0"/>
          <w:kern w:val="21"/>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pacing w:val="0"/>
          <w:kern w:val="21"/>
          <w:sz w:val="32"/>
          <w:szCs w:val="32"/>
          <w:lang w:val="en-US" w:eastAsia="zh-CN" w:bidi="ar-SA"/>
        </w:rPr>
      </w:pPr>
      <w:r>
        <w:rPr>
          <w:rFonts w:hint="eastAsia" w:ascii="仿宋_GB2312" w:hAnsi="仿宋_GB2312" w:eastAsia="仿宋_GB2312" w:cs="仿宋_GB2312"/>
          <w:kern w:val="21"/>
          <w:sz w:val="32"/>
          <w:szCs w:val="32"/>
        </w:rPr>
        <w:t>经综合评价，南海区委、区政府坚决贯彻习近平总书记关于食品安全工作的重要指示批示精神，坚持以人民为中心的发展思想，以创建</w:t>
      </w:r>
      <w:r>
        <w:rPr>
          <w:rFonts w:hint="eastAsia" w:ascii="仿宋_GB2312" w:hAnsi="仿宋_GB2312" w:eastAsia="仿宋_GB2312" w:cs="仿宋_GB2312"/>
          <w:kern w:val="21"/>
          <w:sz w:val="32"/>
          <w:szCs w:val="32"/>
          <w:lang w:eastAsia="zh-CN"/>
        </w:rPr>
        <w:t>广东省</w:t>
      </w:r>
      <w:r>
        <w:rPr>
          <w:rFonts w:hint="eastAsia" w:ascii="仿宋_GB2312" w:hAnsi="仿宋_GB2312" w:eastAsia="仿宋_GB2312" w:cs="仿宋_GB2312"/>
          <w:kern w:val="21"/>
          <w:sz w:val="32"/>
          <w:szCs w:val="32"/>
        </w:rPr>
        <w:t>食品安全示范</w:t>
      </w:r>
      <w:r>
        <w:rPr>
          <w:rFonts w:hint="eastAsia" w:ascii="仿宋_GB2312" w:hAnsi="仿宋_GB2312" w:eastAsia="仿宋_GB2312" w:cs="仿宋_GB2312"/>
          <w:kern w:val="21"/>
          <w:sz w:val="32"/>
          <w:szCs w:val="32"/>
          <w:lang w:eastAsia="zh-CN"/>
        </w:rPr>
        <w:t>区</w:t>
      </w:r>
      <w:r>
        <w:rPr>
          <w:rFonts w:hint="eastAsia" w:ascii="仿宋_GB2312" w:hAnsi="仿宋_GB2312" w:eastAsia="仿宋_GB2312" w:cs="仿宋_GB2312"/>
          <w:kern w:val="21"/>
          <w:sz w:val="32"/>
          <w:szCs w:val="32"/>
        </w:rPr>
        <w:t>为契机，认真落实“四个最严”要求，切实推动食品安全工作水平整体提升，达到了食品安全状况良好、党政同责和“四个最严”要求全面落实、食品安全放心工程成效显著、</w:t>
      </w:r>
      <w:r>
        <w:rPr>
          <w:rFonts w:hint="eastAsia" w:ascii="仿宋_GB2312" w:hAnsi="仿宋_GB2312" w:eastAsia="仿宋_GB2312" w:cs="仿宋_GB2312"/>
          <w:kern w:val="21"/>
          <w:sz w:val="32"/>
          <w:szCs w:val="32"/>
          <w:lang w:eastAsia="zh-CN"/>
        </w:rPr>
        <w:t>食品安全源头有效治理、</w:t>
      </w:r>
      <w:r>
        <w:rPr>
          <w:rFonts w:hint="eastAsia" w:ascii="仿宋_GB2312" w:hAnsi="仿宋_GB2312" w:eastAsia="仿宋_GB2312" w:cs="仿宋_GB2312"/>
          <w:kern w:val="21"/>
          <w:sz w:val="32"/>
          <w:szCs w:val="32"/>
        </w:rPr>
        <w:t>食品生产经营者主体责任意识普遍增强、食品产业高质量发展、食品安全风险管理能力提升、食品安全社会共治格局形成等标准，示范作用明显，通过了</w:t>
      </w:r>
      <w:r>
        <w:rPr>
          <w:rFonts w:hint="eastAsia" w:ascii="仿宋_GB2312" w:hAnsi="仿宋_GB2312" w:eastAsia="仿宋_GB2312" w:cs="仿宋_GB2312"/>
          <w:kern w:val="21"/>
          <w:sz w:val="32"/>
          <w:szCs w:val="32"/>
          <w:lang w:eastAsia="zh-CN"/>
        </w:rPr>
        <w:t>市</w:t>
      </w:r>
      <w:r>
        <w:rPr>
          <w:rFonts w:hint="eastAsia" w:ascii="仿宋_GB2312" w:hAnsi="仿宋_GB2312" w:eastAsia="仿宋_GB2312" w:cs="仿宋_GB2312"/>
          <w:kern w:val="21"/>
          <w:sz w:val="32"/>
          <w:szCs w:val="32"/>
        </w:rPr>
        <w:t>级初评。</w:t>
      </w:r>
    </w:p>
    <w:p>
      <w:pPr>
        <w:spacing w:beforeLines="0" w:afterLines="0" w:line="560" w:lineRule="exact"/>
        <w:ind w:firstLine="640" w:firstLineChars="200"/>
        <w:jc w:val="both"/>
        <w:rPr>
          <w:rFonts w:hint="eastAsia" w:ascii="仿宋_GB2312" w:hAnsi="仿宋_GB2312" w:eastAsia="仿宋_GB2312" w:cs="仿宋_GB2312"/>
          <w:spacing w:val="0"/>
          <w:kern w:val="21"/>
          <w:sz w:val="32"/>
          <w:szCs w:val="32"/>
          <w:lang w:val="en-US" w:eastAsia="zh-CN" w:bidi="ar-SA"/>
        </w:rPr>
      </w:pPr>
    </w:p>
    <w:p>
      <w:pPr>
        <w:pStyle w:val="10"/>
        <w:spacing w:beforeLines="0" w:after="0" w:afterLines="0" w:line="560" w:lineRule="exact"/>
        <w:rPr>
          <w:rFonts w:hint="eastAsia" w:eastAsia="宋体"/>
          <w:kern w:val="21"/>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chineseCounting"/>
      <w:suff w:val="nothing"/>
      <w:lvlText w:val="%1、"/>
      <w:lvlJc w:val="left"/>
      <w:pPr>
        <w:ind w:left="0" w:firstLine="420"/>
      </w:pPr>
      <w:rPr>
        <w:rFonts w:hint="eastAsia"/>
      </w:rPr>
    </w:lvl>
  </w:abstractNum>
  <w:abstractNum w:abstractNumId="1">
    <w:nsid w:val="00000005"/>
    <w:multiLevelType w:val="multilevel"/>
    <w:tmpl w:val="00000005"/>
    <w:lvl w:ilvl="0" w:tentative="0">
      <w:start w:val="1"/>
      <w:numFmt w:val="decimal"/>
      <w:pStyle w:val="5"/>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024B284B"/>
    <w:rsid w:val="037317C4"/>
    <w:rsid w:val="062A1BBF"/>
    <w:rsid w:val="087E01E7"/>
    <w:rsid w:val="08B00B30"/>
    <w:rsid w:val="0D08100A"/>
    <w:rsid w:val="0F172106"/>
    <w:rsid w:val="125940B8"/>
    <w:rsid w:val="12E72CC9"/>
    <w:rsid w:val="136A1EC4"/>
    <w:rsid w:val="14050993"/>
    <w:rsid w:val="14E671C7"/>
    <w:rsid w:val="189C58A6"/>
    <w:rsid w:val="196177C2"/>
    <w:rsid w:val="2008458D"/>
    <w:rsid w:val="22AF5921"/>
    <w:rsid w:val="2ADC08A6"/>
    <w:rsid w:val="2B0F7E7D"/>
    <w:rsid w:val="2BFD6B8A"/>
    <w:rsid w:val="2E575C11"/>
    <w:rsid w:val="2FEB3B4B"/>
    <w:rsid w:val="3693739A"/>
    <w:rsid w:val="36D36E77"/>
    <w:rsid w:val="39804EAF"/>
    <w:rsid w:val="3ACD5F35"/>
    <w:rsid w:val="3C00740C"/>
    <w:rsid w:val="3D2D3532"/>
    <w:rsid w:val="41BA6A70"/>
    <w:rsid w:val="429802EB"/>
    <w:rsid w:val="439072E9"/>
    <w:rsid w:val="43D5189C"/>
    <w:rsid w:val="45A3426F"/>
    <w:rsid w:val="49CF7DBD"/>
    <w:rsid w:val="4A3D57CD"/>
    <w:rsid w:val="4F133A2E"/>
    <w:rsid w:val="54212CF7"/>
    <w:rsid w:val="56CC1DE3"/>
    <w:rsid w:val="593B0EFE"/>
    <w:rsid w:val="59DF5E91"/>
    <w:rsid w:val="5A8F32E5"/>
    <w:rsid w:val="5D93739A"/>
    <w:rsid w:val="61FF4DFC"/>
    <w:rsid w:val="68046E3A"/>
    <w:rsid w:val="693D336D"/>
    <w:rsid w:val="6EF013C1"/>
    <w:rsid w:val="70810230"/>
    <w:rsid w:val="731428ED"/>
    <w:rsid w:val="735E5B33"/>
    <w:rsid w:val="78446F6D"/>
    <w:rsid w:val="78AD4345"/>
    <w:rsid w:val="79AD2D9F"/>
    <w:rsid w:val="7B95771F"/>
    <w:rsid w:val="7F8D29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7"/>
    <w:qFormat/>
    <w:uiPriority w:val="0"/>
    <w:pPr>
      <w:keepNext/>
      <w:keepLines/>
      <w:spacing w:beforeLines="0" w:beforeAutospacing="0" w:afterLines="0" w:afterAutospacing="0" w:line="560" w:lineRule="exact"/>
      <w:ind w:firstLine="0" w:firstLineChars="0"/>
      <w:jc w:val="center"/>
      <w:outlineLvl w:val="0"/>
    </w:pPr>
    <w:rPr>
      <w:rFonts w:ascii="Times New Roman" w:hAnsi="Times New Roman" w:eastAsia="方正小标宋简体" w:cs="仿宋"/>
      <w:color w:val="auto"/>
      <w:kern w:val="44"/>
      <w:sz w:val="44"/>
    </w:rPr>
  </w:style>
  <w:style w:type="paragraph" w:styleId="4">
    <w:name w:val="heading 2"/>
    <w:basedOn w:val="1"/>
    <w:next w:val="1"/>
    <w:unhideWhenUsed/>
    <w:qFormat/>
    <w:uiPriority w:val="0"/>
    <w:pPr>
      <w:keepNext w:val="0"/>
      <w:keepLines w:val="0"/>
      <w:spacing w:beforeAutospacing="0" w:afterAutospacing="0" w:line="240" w:lineRule="auto"/>
      <w:ind w:firstLine="880" w:firstLineChars="200"/>
      <w:outlineLvl w:val="1"/>
    </w:pPr>
    <w:rPr>
      <w:rFonts w:eastAsia="楷体" w:cs="Times New Roman"/>
    </w:rPr>
  </w:style>
  <w:style w:type="paragraph" w:styleId="5">
    <w:name w:val="heading 3"/>
    <w:basedOn w:val="1"/>
    <w:next w:val="1"/>
    <w:unhideWhenUsed/>
    <w:qFormat/>
    <w:uiPriority w:val="0"/>
    <w:pPr>
      <w:keepNext/>
      <w:keepLines/>
      <w:numPr>
        <w:ilvl w:val="0"/>
        <w:numId w:val="1"/>
      </w:numPr>
      <w:outlineLvl w:val="2"/>
    </w:pPr>
    <w:rPr>
      <w:rFonts w:ascii="Times New Roman" w:hAnsi="Times New Roman" w:eastAsia="宋体" w:cs="Times New Roman"/>
      <w:b/>
      <w:bCs/>
      <w:sz w:val="30"/>
      <w:szCs w:val="32"/>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rPr>
      <w:rFonts w:hAnsi="Times New Roman"/>
      <w:sz w:val="34"/>
    </w:rPr>
  </w:style>
  <w:style w:type="paragraph" w:styleId="6">
    <w:name w:val="index 5"/>
    <w:next w:val="1"/>
    <w:qFormat/>
    <w:uiPriority w:val="0"/>
    <w:pPr>
      <w:widowControl w:val="0"/>
      <w:ind w:left="800" w:leftChars="800"/>
      <w:jc w:val="both"/>
    </w:pPr>
    <w:rPr>
      <w:rFonts w:ascii="Calibri" w:hAnsi="Calibri" w:eastAsia="宋体" w:cs="Times New Roman"/>
      <w:kern w:val="2"/>
      <w:sz w:val="30"/>
      <w:szCs w:val="24"/>
      <w:lang w:val="en-US" w:eastAsia="zh-CN" w:bidi="ar-SA"/>
    </w:rPr>
  </w:style>
  <w:style w:type="paragraph" w:styleId="7">
    <w:name w:val="Body Text Indent"/>
    <w:basedOn w:val="1"/>
    <w:qFormat/>
    <w:uiPriority w:val="0"/>
    <w:pPr>
      <w:spacing w:after="120"/>
      <w:ind w:left="420" w:leftChars="200"/>
    </w:pPr>
    <w:rPr>
      <w:rFonts w:ascii="Times New Roman" w:hAnsi="Times New Roman" w:eastAsia="宋体" w:cs="Times New Roman"/>
      <w:sz w:val="3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7"/>
    <w:next w:val="1"/>
    <w:qFormat/>
    <w:uiPriority w:val="0"/>
    <w:pPr>
      <w:ind w:left="0" w:leftChars="0" w:firstLine="420" w:firstLineChars="200"/>
    </w:pPr>
  </w:style>
  <w:style w:type="character" w:styleId="13">
    <w:name w:val="FollowedHyperlink"/>
    <w:basedOn w:val="12"/>
    <w:qFormat/>
    <w:uiPriority w:val="0"/>
    <w:rPr>
      <w:color w:val="003399"/>
      <w:u w:val="none"/>
    </w:rPr>
  </w:style>
  <w:style w:type="character" w:styleId="14">
    <w:name w:val="Hyperlink"/>
    <w:basedOn w:val="12"/>
    <w:qFormat/>
    <w:uiPriority w:val="0"/>
    <w:rPr>
      <w:color w:val="003399"/>
      <w:u w:val="none"/>
    </w:rPr>
  </w:style>
  <w:style w:type="character" w:customStyle="1" w:styleId="15">
    <w:name w:val="样式1"/>
    <w:qFormat/>
    <w:uiPriority w:val="0"/>
    <w:rPr>
      <w:rFonts w:ascii="Times New Roman" w:hAnsi="Times New Roman" w:eastAsia="黑体"/>
      <w:sz w:val="32"/>
    </w:rPr>
  </w:style>
  <w:style w:type="character" w:customStyle="1" w:styleId="16">
    <w:name w:val="样式2"/>
    <w:basedOn w:val="12"/>
    <w:qFormat/>
    <w:uiPriority w:val="0"/>
    <w:rPr>
      <w:rFonts w:ascii="Times New Roman" w:hAnsi="Times New Roman" w:eastAsia="楷体"/>
      <w:sz w:val="32"/>
    </w:rPr>
  </w:style>
  <w:style w:type="character" w:customStyle="1" w:styleId="17">
    <w:name w:val="标题 1 Char"/>
    <w:link w:val="3"/>
    <w:qFormat/>
    <w:uiPriority w:val="0"/>
    <w:rPr>
      <w:rFonts w:ascii="Times New Roman" w:hAnsi="Times New Roman" w:eastAsia="方正小标宋简体" w:cs="仿宋"/>
      <w:color w:val="auto"/>
      <w:kern w:val="44"/>
      <w:sz w:val="44"/>
    </w:rPr>
  </w:style>
  <w:style w:type="paragraph" w:customStyle="1" w:styleId="18">
    <w:name w:val="标题1"/>
    <w:basedOn w:val="1"/>
    <w:qFormat/>
    <w:uiPriority w:val="0"/>
    <w:pPr>
      <w:jc w:val="center"/>
    </w:pPr>
    <w:rPr>
      <w:rFonts w:ascii="Times New Roman" w:hAnsi="Times New Roman" w:eastAsia="方正小标宋简体" w:cs="仿宋"/>
      <w:color w:val="auto"/>
      <w:sz w:val="44"/>
    </w:rPr>
  </w:style>
  <w:style w:type="paragraph" w:customStyle="1" w:styleId="19">
    <w:name w:val="Normal Indent1"/>
    <w:next w:val="6"/>
    <w:qFormat/>
    <w:uiPriority w:val="0"/>
    <w:pPr>
      <w:widowControl w:val="0"/>
      <w:ind w:firstLine="420" w:firstLineChars="20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18</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彭晶</cp:lastModifiedBy>
  <dcterms:modified xsi:type="dcterms:W3CDTF">2022-09-16T08:03:15Z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2FAC2C0289F04BB386424A8141973F85</vt:lpwstr>
  </property>
</Properties>
</file>