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ascii="宋体" w:hAnsi="宋体"/>
          <w:sz w:val="20"/>
          <w:szCs w:val="20"/>
        </w:rPr>
      </w:pPr>
      <w:r>
        <w:rPr>
          <w:rFonts w:ascii="微软雅黑" w:hAnsi="微软雅黑" w:eastAsia="微软雅黑"/>
          <w:szCs w:val="21"/>
        </w:rPr>
        <w:drawing>
          <wp:inline distT="0" distB="0" distL="114300" distR="114300">
            <wp:extent cx="4189730" cy="1082675"/>
            <wp:effectExtent l="0" t="0" r="1270" b="14605"/>
            <wp:docPr id="15" name="图片 1" descr="C:\Users\Apple\Desktop\【打包下载】logo\lALPGoU8bwzntDnNAhzNCCo_2090_540.pnglALPGoU8bwzntDnNAhzNCCo_2090_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Apple\Desktop\【打包下载】logo\lALPGoU8bwzntDnNAhzNCCo_2090_540.pnglALPGoU8bwzntDnNAhzNCCo_2090_5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0"/>
          <w:szCs w:val="20"/>
        </w:rPr>
      </w:pPr>
    </w:p>
    <w:p>
      <w:pPr>
        <w:rPr>
          <w:rFonts w:ascii="宋体" w:hAnsi="宋体"/>
          <w:sz w:val="20"/>
          <w:szCs w:val="20"/>
        </w:rPr>
      </w:pPr>
    </w:p>
    <w:p>
      <w:pPr>
        <w:rPr>
          <w:rFonts w:ascii="宋体" w:hAnsi="宋体"/>
          <w:sz w:val="20"/>
          <w:szCs w:val="20"/>
        </w:rPr>
      </w:pPr>
    </w:p>
    <w:p>
      <w:pPr>
        <w:rPr>
          <w:rFonts w:ascii="宋体" w:hAnsi="宋体"/>
          <w:sz w:val="20"/>
          <w:szCs w:val="20"/>
        </w:rPr>
      </w:pPr>
    </w:p>
    <w:p>
      <w:pPr>
        <w:rPr>
          <w:rFonts w:ascii="宋体" w:hAnsi="宋体"/>
          <w:sz w:val="20"/>
          <w:szCs w:val="20"/>
        </w:rPr>
      </w:pPr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  <w:lang w:val="en-US" w:eastAsia="zh-CN"/>
        </w:rPr>
        <w:t>移动端</w:t>
      </w:r>
      <w:r>
        <w:rPr>
          <w:b/>
          <w:sz w:val="48"/>
          <w:szCs w:val="48"/>
        </w:rPr>
        <w:t>使用手册</w:t>
      </w:r>
    </w:p>
    <w:p>
      <w:pPr>
        <w:rPr>
          <w:rFonts w:ascii="宋体" w:hAnsi="宋体"/>
          <w:sz w:val="72"/>
          <w:szCs w:val="72"/>
        </w:rPr>
      </w:pPr>
    </w:p>
    <w:p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（</w:t>
      </w:r>
      <w:r>
        <w:rPr>
          <w:rFonts w:hint="eastAsia"/>
          <w:b/>
          <w:sz w:val="48"/>
          <w:szCs w:val="48"/>
          <w:lang w:val="en-US" w:eastAsia="zh-CN"/>
        </w:rPr>
        <w:t>申报用户</w:t>
      </w:r>
      <w:r>
        <w:rPr>
          <w:b/>
          <w:sz w:val="48"/>
          <w:szCs w:val="48"/>
        </w:rPr>
        <w:t>）</w:t>
      </w: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主办单位：佛山市人民政府</w:t>
      </w:r>
    </w:p>
    <w:p>
      <w:pPr>
        <w:jc w:val="center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default"/>
          <w:b/>
          <w:bCs w:val="0"/>
          <w:sz w:val="28"/>
          <w:szCs w:val="28"/>
          <w:lang w:val="en-US" w:eastAsia="zh-CN"/>
        </w:rPr>
        <w:t>承办单位：佛山市财政局</w:t>
      </w:r>
    </w:p>
    <w:p>
      <w:pPr>
        <w:jc w:val="center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default"/>
          <w:b/>
          <w:bCs w:val="0"/>
          <w:sz w:val="28"/>
          <w:szCs w:val="28"/>
          <w:lang w:val="en-US" w:eastAsia="zh-CN"/>
        </w:rPr>
        <w:t>承建单位：广州政企互联科技有限公司</w:t>
      </w:r>
    </w:p>
    <w:p>
      <w:pPr>
        <w:pStyle w:val="2"/>
        <w:bidi w:val="0"/>
        <w:jc w:val="left"/>
        <w:rPr>
          <w:rFonts w:hint="eastAsia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82502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_Toc10869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一、移动端注册指引</w:t>
          </w:r>
          <w:r>
            <w:tab/>
          </w:r>
          <w:r>
            <w:fldChar w:fldCharType="begin"/>
          </w:r>
          <w:r>
            <w:instrText xml:space="preserve"> PAGEREF _Toc10869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_Toc24084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1.1企业注册</w:t>
          </w:r>
          <w:r>
            <w:tab/>
          </w:r>
          <w:r>
            <w:fldChar w:fldCharType="begin"/>
          </w:r>
          <w:r>
            <w:instrText xml:space="preserve"> PAGEREF _Toc24084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_Toc8016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1.2企业登录</w:t>
          </w:r>
          <w:r>
            <w:tab/>
          </w:r>
          <w:r>
            <w:fldChar w:fldCharType="begin"/>
          </w:r>
          <w:r>
            <w:instrText xml:space="preserve"> PAGEREF _Toc8016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_Toc26115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1.3添加银行账户</w:t>
          </w:r>
          <w:r>
            <w:tab/>
          </w:r>
          <w:r>
            <w:fldChar w:fldCharType="begin"/>
          </w:r>
          <w:r>
            <w:instrText xml:space="preserve"> PAGEREF _Toc26115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_Toc22179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Cs w:val="36"/>
              <w:lang w:val="en-US" w:eastAsia="zh-CN"/>
            </w:rPr>
            <w:t>1.4完善单位信息</w:t>
          </w:r>
          <w:r>
            <w:tab/>
          </w:r>
          <w:r>
            <w:fldChar w:fldCharType="begin"/>
          </w:r>
          <w:r>
            <w:instrText xml:space="preserve"> PAGEREF _Toc22179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_Toc19148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二、 移动端申报指引</w:t>
          </w:r>
          <w:r>
            <w:tab/>
          </w:r>
          <w:r>
            <w:fldChar w:fldCharType="begin"/>
          </w:r>
          <w:r>
            <w:instrText xml:space="preserve"> PAGEREF _Toc19148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_Toc8099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2.1申领指引</w:t>
          </w:r>
          <w:r>
            <w:tab/>
          </w:r>
          <w:r>
            <w:fldChar w:fldCharType="begin"/>
          </w:r>
          <w:r>
            <w:instrText xml:space="preserve"> PAGEREF _Toc8099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_Toc17113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2.2申诉指引</w:t>
          </w:r>
          <w:r>
            <w:tab/>
          </w:r>
          <w:r>
            <w:fldChar w:fldCharType="begin"/>
          </w:r>
          <w:r>
            <w:instrText xml:space="preserve"> PAGEREF _Toc17113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/>
    <w:p/>
    <w:p>
      <w:bookmarkStart w:id="8" w:name="_GoBack"/>
      <w:bookmarkEnd w:id="8"/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bidi w:val="0"/>
        <w:jc w:val="left"/>
        <w:rPr>
          <w:rFonts w:hint="eastAsia"/>
          <w:lang w:val="en-US" w:eastAsia="zh-CN"/>
        </w:rPr>
      </w:pPr>
      <w:bookmarkStart w:id="0" w:name="_Toc10869"/>
      <w:r>
        <w:rPr>
          <w:rFonts w:hint="eastAsia"/>
          <w:lang w:val="en-US" w:eastAsia="zh-CN"/>
        </w:rPr>
        <w:t>一、移动端注册指引</w:t>
      </w:r>
      <w:bookmarkEnd w:id="0"/>
    </w:p>
    <w:p>
      <w:pPr>
        <w:pStyle w:val="3"/>
        <w:bidi w:val="0"/>
        <w:rPr>
          <w:rFonts w:hint="eastAsia"/>
          <w:sz w:val="36"/>
          <w:szCs w:val="36"/>
          <w:lang w:val="en-US" w:eastAsia="zh-CN"/>
        </w:rPr>
      </w:pPr>
      <w:bookmarkStart w:id="1" w:name="_Toc24084"/>
      <w:r>
        <w:rPr>
          <w:rFonts w:hint="eastAsia"/>
          <w:sz w:val="36"/>
          <w:szCs w:val="36"/>
          <w:lang w:val="en-US" w:eastAsia="zh-CN"/>
        </w:rPr>
        <w:t>1.1企业注册</w:t>
      </w:r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微信小程序搜索“佛山扶持通”，进入小程序后，点击左上方“立即登录”，选择“单位登录”，点击“粤信签登录”；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68595" cy="3677920"/>
            <wp:effectExtent l="0" t="0" r="444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点击右下方“注册账号”，选择“注册法人账户”；根据提示填写注册信息，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注意：“法人名称”表示“单位名称”，“法人证件号码”表示“单位统一社会信用代码”，请勿填错；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73040" cy="374332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sz w:val="36"/>
          <w:szCs w:val="36"/>
          <w:lang w:val="en-US" w:eastAsia="zh-CN"/>
        </w:rPr>
      </w:pPr>
      <w:bookmarkStart w:id="2" w:name="_Toc8016"/>
      <w:r>
        <w:rPr>
          <w:rFonts w:hint="eastAsia"/>
          <w:sz w:val="36"/>
          <w:szCs w:val="36"/>
          <w:lang w:val="en-US" w:eastAsia="zh-CN"/>
        </w:rPr>
        <w:t>1.2企业登录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进入小程序后，点击左上方“立即登录”，选择“单位登录”，点击“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粤信签登录</w:t>
      </w:r>
      <w:r>
        <w:rPr>
          <w:rFonts w:hint="eastAsia"/>
          <w:sz w:val="24"/>
          <w:szCs w:val="24"/>
          <w:lang w:val="en-US" w:eastAsia="zh-CN"/>
        </w:rPr>
        <w:t>”，若在</w:t>
      </w:r>
      <w:r>
        <w:rPr>
          <w:rFonts w:hint="eastAsia"/>
          <w:color w:val="FF0000"/>
          <w:sz w:val="24"/>
          <w:szCs w:val="24"/>
          <w:lang w:val="en-US" w:eastAsia="zh-CN"/>
        </w:rPr>
        <w:t>2020年5月13日之前</w:t>
      </w:r>
      <w:r>
        <w:rPr>
          <w:rFonts w:hint="eastAsia"/>
          <w:sz w:val="24"/>
          <w:szCs w:val="24"/>
          <w:lang w:val="en-US" w:eastAsia="zh-CN"/>
        </w:rPr>
        <w:t>注册过账号，请点击下方“佛山扶持通登录”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890770" cy="3414395"/>
            <wp:effectExtent l="0" t="0" r="127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输入账号密码，完成登录，点击“返回佛山扶持通”，添加银行账户；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3280410" cy="3447415"/>
            <wp:effectExtent l="0" t="0" r="11430" b="1206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sz w:val="36"/>
          <w:szCs w:val="36"/>
          <w:lang w:val="en-US" w:eastAsia="zh-CN"/>
        </w:rPr>
      </w:pPr>
      <w:bookmarkStart w:id="3" w:name="_Toc26115"/>
      <w:r>
        <w:rPr>
          <w:rFonts w:hint="eastAsia"/>
          <w:sz w:val="36"/>
          <w:szCs w:val="36"/>
          <w:lang w:val="en-US" w:eastAsia="zh-CN"/>
        </w:rPr>
        <w:t>1.3添加银行账户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在首页点击右下方“我的”，点击右上方头像，进入选择“企业卡包”，选择“添加银行账号”。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113655" cy="3159760"/>
            <wp:effectExtent l="0" t="0" r="6985" b="1016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rcRect t="4627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选择开户银行，输入银行账号，右下方选择“保存”后，选择“开始验证”，查看银行到账情况，并填写验证金额。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70500" cy="3610610"/>
            <wp:effectExtent l="0" t="0" r="254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选择卡包中的一张银行卡，设为“默认银行账户”，即可开始申报。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注意：必须设为默认银行账户后方可进行项目申报。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</w:pPr>
      <w:r>
        <w:drawing>
          <wp:inline distT="0" distB="0" distL="114300" distR="114300">
            <wp:extent cx="1724025" cy="3416935"/>
            <wp:effectExtent l="0" t="0" r="13335" b="1206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若已退出验证界面，可在24小时内重新进入“企业卡包”，点击状态为“验证中”的银行卡，填写到账金额。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67960" cy="3723640"/>
            <wp:effectExtent l="0" t="0" r="5080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bookmarkStart w:id="4" w:name="_Toc22179"/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1.4完善单位信息</w:t>
      </w:r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点击右下方“我的”，再点击右上方“头像”，选择“单位信息”，完善单位信息后，点击下方“保存”，待屏幕中部弹出“保存成功”后即可开始申报。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2739390"/>
            <wp:effectExtent l="0" t="0" r="1905" b="381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若“财务信息”处单位公户信息为空或有误，请返回头像处，点击“企业卡包”进行修改。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5"/>
        </w:numPr>
        <w:bidi w:val="0"/>
        <w:rPr>
          <w:rFonts w:hint="eastAsia"/>
          <w:lang w:val="en-US" w:eastAsia="zh-CN"/>
        </w:rPr>
      </w:pPr>
      <w:bookmarkStart w:id="5" w:name="_Toc19148"/>
      <w:r>
        <w:rPr>
          <w:rFonts w:hint="eastAsia"/>
          <w:lang w:val="en-US" w:eastAsia="zh-CN"/>
        </w:rPr>
        <w:t>移动端申报指引</w:t>
      </w:r>
      <w:bookmarkEnd w:id="5"/>
    </w:p>
    <w:p>
      <w:pPr>
        <w:pStyle w:val="3"/>
        <w:bidi w:val="0"/>
        <w:rPr>
          <w:rFonts w:hint="eastAsia"/>
          <w:sz w:val="36"/>
          <w:szCs w:val="36"/>
          <w:lang w:val="en-US" w:eastAsia="zh-CN"/>
        </w:rPr>
      </w:pPr>
      <w:bookmarkStart w:id="6" w:name="_Toc8099"/>
      <w:r>
        <w:rPr>
          <w:rFonts w:hint="eastAsia"/>
          <w:sz w:val="36"/>
          <w:szCs w:val="36"/>
          <w:lang w:val="en-US" w:eastAsia="zh-CN"/>
        </w:rPr>
        <w:t>2.1申领指引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登录账号后，点击首页弹出的补贴红包，进入红包领取界面，确认系统自动检测的项目信息，若无误即可提交，补贴资金会实时转账默认银行卡账户，请确认资金到账情况。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73040" cy="3621405"/>
            <wp:effectExtent l="0" t="0" r="0" b="571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sz w:val="36"/>
          <w:szCs w:val="36"/>
          <w:lang w:val="en-US" w:eastAsia="zh-CN"/>
        </w:rPr>
      </w:pPr>
      <w:bookmarkStart w:id="7" w:name="_Toc17113"/>
      <w:r>
        <w:rPr>
          <w:rFonts w:hint="eastAsia"/>
          <w:sz w:val="36"/>
          <w:szCs w:val="36"/>
          <w:lang w:val="en-US" w:eastAsia="zh-CN"/>
        </w:rPr>
        <w:t>2.2申诉指引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）若没有红包弹出请在首页点击右上方“放大镜”，搜索“质量提升”，选择“2022年佛山市工业产品质量提升扶持资金（标准化）”，点击申报时若提示“不符合申报条件”，请点击“去申诉”，填写申诉表后点击“提交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631565"/>
            <wp:effectExtent l="0" t="0" r="3810" b="1079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61915D4"/>
    <w:multiLevelType w:val="singleLevel"/>
    <w:tmpl w:val="C61915D4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DBC4E88D"/>
    <w:multiLevelType w:val="singleLevel"/>
    <w:tmpl w:val="DBC4E88D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00E886AD"/>
    <w:multiLevelType w:val="singleLevel"/>
    <w:tmpl w:val="00E886AD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0BCB183E"/>
    <w:multiLevelType w:val="singleLevel"/>
    <w:tmpl w:val="0BCB183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5E372ED9"/>
    <w:multiLevelType w:val="singleLevel"/>
    <w:tmpl w:val="5E372ED9"/>
    <w:lvl w:ilvl="0" w:tentative="0">
      <w:start w:val="1"/>
      <w:numFmt w:val="decimal"/>
      <w:suff w:val="nothing"/>
      <w:lvlText w:val="%1）"/>
      <w:lvlJc w:val="left"/>
    </w:lvl>
  </w:abstractNum>
  <w:abstractNum w:abstractNumId="5">
    <w:nsid w:val="6A6EF178"/>
    <w:multiLevelType w:val="singleLevel"/>
    <w:tmpl w:val="6A6EF178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2449F4"/>
    <w:rsid w:val="0BF71616"/>
    <w:rsid w:val="11231632"/>
    <w:rsid w:val="136E6C3E"/>
    <w:rsid w:val="15121E3D"/>
    <w:rsid w:val="2A2A771F"/>
    <w:rsid w:val="2DCC0190"/>
    <w:rsid w:val="332C096A"/>
    <w:rsid w:val="36762D02"/>
    <w:rsid w:val="37DA4FD7"/>
    <w:rsid w:val="3BC26BA8"/>
    <w:rsid w:val="3C0F2D4E"/>
    <w:rsid w:val="3CF2385B"/>
    <w:rsid w:val="3F2044C9"/>
    <w:rsid w:val="3FC04DAD"/>
    <w:rsid w:val="43AB257D"/>
    <w:rsid w:val="4CF917BA"/>
    <w:rsid w:val="51F82FDD"/>
    <w:rsid w:val="525B5BAB"/>
    <w:rsid w:val="58C14C91"/>
    <w:rsid w:val="5BD96292"/>
    <w:rsid w:val="694A0EB4"/>
    <w:rsid w:val="6A105925"/>
    <w:rsid w:val="6DEE6EF0"/>
    <w:rsid w:val="6FB07427"/>
    <w:rsid w:val="707F30C2"/>
    <w:rsid w:val="70E82C77"/>
    <w:rsid w:val="752A36C7"/>
    <w:rsid w:val="78BA70E3"/>
    <w:rsid w:val="7E33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2021-03-12T06:40:00Z</dcterms:created>
  <dc:creator>54558</dc:creator>
  <cp:lastModifiedBy>霜雪流觞</cp:lastModifiedBy>
  <dcterms:modified xsi:type="dcterms:W3CDTF">2022-05-31T10:14:03Z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