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hint="eastAsia" w:ascii="方正小标宋简体" w:hAnsi="方正小标宋简体" w:eastAsia="方正小标宋简体" w:cs="方正小标宋简体"/>
          <w:b w:val="0"/>
          <w:bCs w:val="0"/>
          <w:color w:val="auto"/>
          <w:highlight w:val="none"/>
        </w:rPr>
      </w:pPr>
      <w:bookmarkStart w:id="0" w:name="_Toc85191157"/>
      <w:r>
        <w:rPr>
          <w:rFonts w:hint="eastAsia" w:ascii="方正小标宋简体" w:hAnsi="方正小标宋简体" w:eastAsia="方正小标宋简体" w:cs="方正小标宋简体"/>
          <w:b w:val="0"/>
          <w:bCs w:val="0"/>
          <w:color w:val="auto"/>
          <w:highlight w:val="none"/>
        </w:rPr>
        <w:t>佛山市促进知识产权高质量发展资助</w:t>
      </w:r>
      <w:bookmarkEnd w:id="0"/>
      <w:r>
        <w:rPr>
          <w:rFonts w:hint="eastAsia" w:ascii="方正小标宋简体" w:hAnsi="方正小标宋简体" w:eastAsia="方正小标宋简体" w:cs="方正小标宋简体"/>
          <w:b w:val="0"/>
          <w:bCs w:val="0"/>
          <w:color w:val="auto"/>
          <w:highlight w:val="none"/>
        </w:rPr>
        <w:t>办法（</w:t>
      </w:r>
      <w:r>
        <w:rPr>
          <w:rFonts w:hint="eastAsia" w:ascii="方正小标宋简体" w:hAnsi="方正小标宋简体" w:eastAsia="方正小标宋简体" w:cs="方正小标宋简体"/>
          <w:b w:val="0"/>
          <w:bCs w:val="0"/>
          <w:color w:val="auto"/>
          <w:highlight w:val="none"/>
          <w:lang w:eastAsia="zh-CN"/>
        </w:rPr>
        <w:t>征求意见</w:t>
      </w:r>
      <w:r>
        <w:rPr>
          <w:rFonts w:hint="eastAsia" w:ascii="方正小标宋简体" w:hAnsi="方正小标宋简体" w:eastAsia="方正小标宋简体" w:cs="方正小标宋简体"/>
          <w:b w:val="0"/>
          <w:bCs w:val="0"/>
          <w:color w:val="auto"/>
          <w:highlight w:val="none"/>
        </w:rPr>
        <w:t>稿）</w:t>
      </w: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hint="eastAsia" w:ascii="黑体" w:hAnsi="黑体" w:eastAsia="黑体" w:cs="黑体"/>
          <w:b w:val="0"/>
          <w:bCs w:val="0"/>
          <w:color w:val="auto"/>
          <w:highlight w:val="none"/>
        </w:rPr>
      </w:pP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黑体" w:hAnsi="黑体" w:eastAsia="黑体" w:cs="黑体"/>
          <w:b w:val="0"/>
          <w:bCs w:val="0"/>
          <w:color w:val="auto"/>
          <w:highlight w:val="none"/>
        </w:rPr>
      </w:pPr>
      <w:r>
        <w:rPr>
          <w:rFonts w:hint="eastAsia" w:ascii="黑体" w:hAnsi="黑体" w:eastAsia="黑体" w:cs="黑体"/>
          <w:b w:val="0"/>
          <w:bCs w:val="0"/>
          <w:color w:val="auto"/>
          <w:highlight w:val="none"/>
        </w:rPr>
        <w:t>第一章 总则</w:t>
      </w:r>
    </w:p>
    <w:p>
      <w:pPr>
        <w:pageBreakBefore w:val="0"/>
        <w:widowControl w:val="0"/>
        <w:kinsoku/>
        <w:wordWrap/>
        <w:overflowPunct/>
        <w:topLinePunct w:val="0"/>
        <w:autoSpaceDE/>
        <w:autoSpaceDN w:val="0"/>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第一条 </w:t>
      </w:r>
      <w:r>
        <w:rPr>
          <w:rFonts w:hint="eastAsia" w:ascii="仿宋_GB2312" w:hAnsi="仿宋_GB2312" w:eastAsia="仿宋_GB2312" w:cs="仿宋_GB2312"/>
          <w:color w:val="auto"/>
          <w:sz w:val="32"/>
          <w:szCs w:val="32"/>
          <w:highlight w:val="none"/>
        </w:rPr>
        <w:t>为深入贯彻《知识产权强国建设纲要（2021-2035）》《“十四五”国家知识产权保护和运用规划》，有效发挥财政资金的引导和激励作用，</w:t>
      </w:r>
      <w:r>
        <w:rPr>
          <w:rFonts w:hint="eastAsia" w:ascii="仿宋_GB2312" w:hAnsi="仿宋_GB2312" w:eastAsia="仿宋_GB2312" w:cs="仿宋_GB2312"/>
          <w:i w:val="0"/>
          <w:caps w:val="0"/>
          <w:color w:val="auto"/>
          <w:spacing w:val="0"/>
          <w:sz w:val="31"/>
          <w:szCs w:val="31"/>
          <w:highlight w:val="none"/>
        </w:rPr>
        <w:t>激发全社会创新活力，</w:t>
      </w:r>
      <w:r>
        <w:rPr>
          <w:rFonts w:hint="eastAsia" w:ascii="仿宋_GB2312" w:hAnsi="仿宋_GB2312" w:eastAsia="仿宋_GB2312" w:cs="仿宋_GB2312"/>
          <w:color w:val="auto"/>
          <w:sz w:val="32"/>
          <w:szCs w:val="32"/>
          <w:highlight w:val="none"/>
        </w:rPr>
        <w:t>提升佛山市知识产权创造、保护、运用、管理和服务水平，推动知识产权强市建设，根据《中华人民共和国专利法》《中华人民共和国</w:t>
      </w:r>
      <w:r>
        <w:rPr>
          <w:rFonts w:hint="eastAsia" w:ascii="仿宋_GB2312" w:hAnsi="仿宋_GB2312" w:eastAsia="仿宋_GB2312" w:cs="仿宋_GB2312"/>
          <w:color w:val="auto"/>
          <w:sz w:val="32"/>
          <w:szCs w:val="32"/>
          <w:highlight w:val="none"/>
          <w:lang w:eastAsia="zh-CN"/>
        </w:rPr>
        <w:t>商标</w:t>
      </w:r>
      <w:r>
        <w:rPr>
          <w:rFonts w:hint="eastAsia" w:ascii="仿宋_GB2312" w:hAnsi="仿宋_GB2312" w:eastAsia="仿宋_GB2312" w:cs="仿宋_GB2312"/>
          <w:color w:val="auto"/>
          <w:sz w:val="32"/>
          <w:szCs w:val="32"/>
          <w:highlight w:val="none"/>
        </w:rPr>
        <w:t>法》《国家知识产权局关于进一步严格规范专利申请行为的通知》《广东省市场监督管理局知识产权工作专项资金管理细则》等有关规定</w:t>
      </w:r>
      <w:r>
        <w:rPr>
          <w:rFonts w:hint="eastAsia" w:ascii="仿宋_GB2312" w:hAnsi="仿宋_GB2312" w:eastAsia="仿宋_GB2312" w:cs="仿宋_GB2312"/>
          <w:color w:val="auto"/>
          <w:kern w:val="0"/>
          <w:sz w:val="32"/>
          <w:szCs w:val="32"/>
          <w:highlight w:val="none"/>
          <w:lang w:bidi="ar"/>
        </w:rPr>
        <w:t>，结合本市实际，制定本办法。</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第二条 </w:t>
      </w:r>
      <w:r>
        <w:rPr>
          <w:rFonts w:hint="eastAsia" w:ascii="仿宋_GB2312" w:hAnsi="仿宋_GB2312" w:eastAsia="仿宋_GB2312" w:cs="仿宋_GB2312"/>
          <w:color w:val="auto"/>
          <w:sz w:val="32"/>
          <w:szCs w:val="32"/>
          <w:highlight w:val="none"/>
        </w:rPr>
        <w:t>本办法所指的知识产权包括专利、商标和地理标志。本办法所指的知识产权资助资金是指从市级财政安排列支的用于促进知识产权高质量创造、运用、保护、管理、服务以及人才培训等相关工作所给予的资金。</w:t>
      </w:r>
      <w:r>
        <w:rPr>
          <w:rFonts w:hint="eastAsia" w:ascii="仿宋_GB2312" w:hAnsi="仿宋_GB2312" w:eastAsia="仿宋_GB2312" w:cs="仿宋_GB2312"/>
          <w:color w:val="auto"/>
          <w:sz w:val="32"/>
          <w:szCs w:val="32"/>
          <w:highlight w:val="none"/>
          <w:lang w:eastAsia="zh-CN"/>
        </w:rPr>
        <w:t>中央、省知识产权专项资金使用方向与本办法中的项目相同时，可参照本办法实施。</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第三条 </w:t>
      </w:r>
      <w:r>
        <w:rPr>
          <w:rFonts w:hint="eastAsia" w:ascii="仿宋_GB2312" w:hAnsi="仿宋_GB2312" w:eastAsia="仿宋_GB2312" w:cs="仿宋_GB2312"/>
          <w:color w:val="auto"/>
          <w:sz w:val="32"/>
          <w:szCs w:val="32"/>
          <w:highlight w:val="none"/>
        </w:rPr>
        <w:t>本办法资助对象为佛山市行政区域内依法登记注册的企事业单位、社会团体及其他社会组织，以及户籍所在地或经常居住地为佛山市行政区域内的自然人。属于佛山市行政区域内</w:t>
      </w:r>
      <w:r>
        <w:rPr>
          <w:rFonts w:hint="eastAsia" w:ascii="仿宋_GB2312" w:hAnsi="仿宋_GB2312" w:eastAsia="仿宋_GB2312" w:cs="仿宋_GB2312"/>
          <w:color w:val="auto"/>
          <w:sz w:val="32"/>
          <w:szCs w:val="32"/>
          <w:highlight w:val="none"/>
          <w:lang w:eastAsia="zh-CN"/>
        </w:rPr>
        <w:t>登记注册</w:t>
      </w:r>
      <w:r>
        <w:rPr>
          <w:rFonts w:hint="eastAsia" w:ascii="仿宋_GB2312" w:hAnsi="仿宋_GB2312" w:eastAsia="仿宋_GB2312" w:cs="仿宋_GB2312"/>
          <w:color w:val="auto"/>
          <w:sz w:val="32"/>
          <w:szCs w:val="32"/>
          <w:highlight w:val="none"/>
        </w:rPr>
        <w:t>的专利代理机构的（包括具有专利代理资格的律师事务所、专利代理机构及其分公司和办事处），需按照国家相关制度设立并备案，建立规范的专利代理流程管理制度，近三年无涉及非正常专利申请行为，无违反有关法律、法规和规章。</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资助对象有特别要求的，由申报指南文件确定。</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第四条 </w:t>
      </w:r>
      <w:r>
        <w:rPr>
          <w:rFonts w:hint="eastAsia" w:ascii="仿宋_GB2312" w:hAnsi="仿宋_GB2312" w:eastAsia="仿宋_GB2312" w:cs="仿宋_GB2312"/>
          <w:color w:val="auto"/>
          <w:sz w:val="32"/>
          <w:szCs w:val="32"/>
          <w:highlight w:val="none"/>
        </w:rPr>
        <w:t>本资金使用和管理应遵循政府引导、社会参与、竞争择优、公平公开、绩效导向、强化监督的原则。</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佛山</w:t>
      </w:r>
      <w:r>
        <w:rPr>
          <w:rFonts w:hint="eastAsia" w:ascii="仿宋_GB2312" w:hAnsi="仿宋_GB2312" w:eastAsia="仿宋_GB2312" w:cs="仿宋_GB2312"/>
          <w:color w:val="auto"/>
          <w:sz w:val="32"/>
          <w:szCs w:val="32"/>
          <w:highlight w:val="none"/>
        </w:rPr>
        <w:t>市市场监督管理局负责知识产权资助申请的受理、审核、公示、资金拨付等工作。</w:t>
      </w: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黑体" w:hAnsi="黑体" w:eastAsia="黑体" w:cs="黑体"/>
          <w:b w:val="0"/>
          <w:bCs w:val="0"/>
          <w:color w:val="auto"/>
          <w:highlight w:val="none"/>
        </w:rPr>
      </w:pPr>
      <w:r>
        <w:rPr>
          <w:rFonts w:hint="eastAsia" w:ascii="黑体" w:hAnsi="黑体" w:eastAsia="黑体" w:cs="黑体"/>
          <w:b w:val="0"/>
          <w:bCs w:val="0"/>
          <w:color w:val="auto"/>
          <w:highlight w:val="none"/>
        </w:rPr>
        <w:t>第二章 资助内容</w:t>
      </w: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1" w:name="_Toc85191158"/>
      <w:r>
        <w:rPr>
          <w:rFonts w:hint="eastAsia" w:ascii="仿宋_GB2312" w:hAnsi="仿宋_GB2312" w:eastAsia="仿宋_GB2312" w:cs="仿宋_GB2312"/>
          <w:color w:val="auto"/>
          <w:highlight w:val="none"/>
        </w:rPr>
        <w:t>第一节 知识产权创造类资助</w:t>
      </w:r>
      <w:bookmarkEnd w:id="1"/>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 w:name="_Toc85191159"/>
      <w:r>
        <w:rPr>
          <w:rFonts w:hint="eastAsia" w:ascii="仿宋_GB2312" w:hAnsi="仿宋_GB2312" w:eastAsia="仿宋_GB2312" w:cs="仿宋_GB2312"/>
          <w:b/>
          <w:color w:val="auto"/>
          <w:sz w:val="32"/>
          <w:szCs w:val="32"/>
          <w:highlight w:val="none"/>
        </w:rPr>
        <w:t xml:space="preserve">第六条 </w:t>
      </w:r>
      <w:bookmarkEnd w:id="2"/>
      <w:r>
        <w:rPr>
          <w:rFonts w:hint="eastAsia" w:ascii="仿宋_GB2312" w:hAnsi="仿宋_GB2312" w:eastAsia="仿宋_GB2312" w:cs="仿宋_GB2312"/>
          <w:b/>
          <w:color w:val="auto"/>
          <w:sz w:val="32"/>
          <w:szCs w:val="32"/>
          <w:highlight w:val="none"/>
        </w:rPr>
        <w:t>国内授权发明专利资助：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对获得国内发明专利授权的，给予每件专利1</w:t>
      </w:r>
      <w:r>
        <w:rPr>
          <w:rFonts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00元的资助。专利权为多方共有的，由第一顺序专利权人提出申请，且第一顺序专利权人应为佛山市行政区域内注册的单位。由第二顺序专利权人提出申请的，需提交第一顺序专利权人签署的放弃资助声明，且第二顺序专利权人应为佛山市行政区域内注册的单位。</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 w:name="_Toc85191160"/>
      <w:r>
        <w:rPr>
          <w:rFonts w:hint="eastAsia" w:ascii="仿宋_GB2312" w:hAnsi="仿宋_GB2312" w:eastAsia="仿宋_GB2312" w:cs="仿宋_GB2312"/>
          <w:b/>
          <w:color w:val="auto"/>
          <w:sz w:val="32"/>
          <w:szCs w:val="32"/>
          <w:highlight w:val="none"/>
        </w:rPr>
        <w:t>第七条 高价值发明专利资助</w:t>
      </w:r>
      <w:bookmarkEnd w:id="3"/>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以后授权的有效发明专利，同时符合下列两种情形以上的，给予专利权人每件专利2万元奖励，同一申请人年度奖励不超过200万元，个人申请人年度奖励不超过20万元。同一专利不重复资助。专利权为多方共有的，由第一顺序专利权人提出申请，且第一顺序专利权人应为佛山市行政区域内注册的单位。由第二顺序专利权人提出申请的，需提交第一顺序专利权人签署的放弃资助声明，且第二顺序专利权人应为佛山市行政区域内注册的单位。</w:t>
      </w:r>
    </w:p>
    <w:p>
      <w:pPr>
        <w:pageBreakBefore w:val="0"/>
        <w:widowControl w:val="0"/>
        <w:kinsoku/>
        <w:wordWrap/>
        <w:overflowPunct/>
        <w:topLinePunct w:val="0"/>
        <w:autoSpaceDE/>
        <w:bidi w:val="0"/>
        <w:adjustRightInd/>
        <w:snapToGrid/>
        <w:spacing w:line="560" w:lineRule="exact"/>
        <w:ind w:left="0" w:leftChars="0" w:right="0" w:right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（一）属于战略性新兴产业；</w:t>
      </w:r>
    </w:p>
    <w:p>
      <w:pPr>
        <w:pageBreakBefore w:val="0"/>
        <w:widowControl w:val="0"/>
        <w:kinsoku/>
        <w:wordWrap/>
        <w:overflowPunct/>
        <w:topLinePunct w:val="0"/>
        <w:autoSpaceDE/>
        <w:bidi w:val="0"/>
        <w:adjustRightInd/>
        <w:snapToGrid/>
        <w:spacing w:line="560" w:lineRule="exact"/>
        <w:ind w:left="0" w:leftChars="0" w:right="0" w:right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（二）在海外有同族专利权；</w:t>
      </w:r>
    </w:p>
    <w:p>
      <w:pPr>
        <w:pageBreakBefore w:val="0"/>
        <w:widowControl w:val="0"/>
        <w:kinsoku/>
        <w:wordWrap/>
        <w:overflowPunct/>
        <w:topLinePunct w:val="0"/>
        <w:autoSpaceDE/>
        <w:bidi w:val="0"/>
        <w:adjustRightInd/>
        <w:snapToGrid/>
        <w:spacing w:line="560" w:lineRule="exact"/>
        <w:ind w:left="0" w:leftChars="0" w:right="0" w:right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（三）维持年限超过10年；</w:t>
      </w:r>
    </w:p>
    <w:p>
      <w:pPr>
        <w:pageBreakBefore w:val="0"/>
        <w:widowControl w:val="0"/>
        <w:kinsoku/>
        <w:wordWrap/>
        <w:overflowPunct/>
        <w:topLinePunct w:val="0"/>
        <w:autoSpaceDE/>
        <w:bidi w:val="0"/>
        <w:adjustRightInd/>
        <w:snapToGrid/>
        <w:spacing w:line="560" w:lineRule="exact"/>
        <w:ind w:left="0" w:leftChars="0" w:right="0" w:right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（四）质押融资金额超过100万；</w:t>
      </w:r>
    </w:p>
    <w:p>
      <w:pPr>
        <w:pageBreakBefore w:val="0"/>
        <w:widowControl w:val="0"/>
        <w:kinsoku/>
        <w:wordWrap/>
        <w:overflowPunct/>
        <w:topLinePunct w:val="0"/>
        <w:autoSpaceDE/>
        <w:bidi w:val="0"/>
        <w:adjustRightInd/>
        <w:snapToGrid/>
        <w:spacing w:line="560" w:lineRule="exact"/>
        <w:ind w:left="0" w:leftChars="0" w:right="0" w:right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（五）获得国家科学技术奖、中国专利奖、广东省专利奖；</w:t>
      </w:r>
    </w:p>
    <w:p>
      <w:pPr>
        <w:pageBreakBefore w:val="0"/>
        <w:widowControl w:val="0"/>
        <w:kinsoku/>
        <w:wordWrap/>
        <w:overflowPunct/>
        <w:topLinePunct w:val="0"/>
        <w:autoSpaceDE/>
        <w:bidi w:val="0"/>
        <w:adjustRightInd/>
        <w:snapToGrid/>
        <w:spacing w:line="560" w:lineRule="exact"/>
        <w:ind w:left="0" w:leftChars="0" w:right="0" w:right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（六）对外实施许可且费用超过100万，且被许可对象与专利权人为非关联性关系；</w:t>
      </w:r>
    </w:p>
    <w:p>
      <w:pPr>
        <w:pageBreakBefore w:val="0"/>
        <w:widowControl w:val="0"/>
        <w:kinsoku/>
        <w:wordWrap/>
        <w:overflowPunct/>
        <w:topLinePunct w:val="0"/>
        <w:autoSpaceDE/>
        <w:bidi w:val="0"/>
        <w:adjustRightInd/>
        <w:snapToGrid/>
        <w:spacing w:line="560" w:lineRule="exact"/>
        <w:ind w:left="0" w:leftChars="0" w:right="0" w:right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（七）被提起专利无效宣告程序后经行政复审或司法审查维持专利权全部有效的专利；</w:t>
      </w:r>
    </w:p>
    <w:p>
      <w:pPr>
        <w:pageBreakBefore w:val="0"/>
        <w:widowControl w:val="0"/>
        <w:numPr>
          <w:ilvl w:val="0"/>
          <w:numId w:val="1"/>
        </w:numPr>
        <w:kinsoku/>
        <w:wordWrap/>
        <w:overflowPunct/>
        <w:topLinePunct w:val="0"/>
        <w:autoSpaceDE/>
        <w:bidi w:val="0"/>
        <w:adjustRightInd/>
        <w:snapToGrid/>
        <w:spacing w:line="560" w:lineRule="exact"/>
        <w:ind w:left="0" w:leftChars="0" w:right="0" w:right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专利侵权诉讼中胜诉的专利</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textAlignment w:val="auto"/>
        <w:rPr>
          <w:rFonts w:hint="eastAsia"/>
          <w:color w:val="auto"/>
          <w:highlight w:val="none"/>
          <w:lang w:eastAsia="zh-CN"/>
        </w:rPr>
      </w:pP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已转化为</w:t>
      </w:r>
      <w:r>
        <w:rPr>
          <w:rFonts w:hint="eastAsia" w:ascii="仿宋_GB2312" w:hAnsi="仿宋_GB2312" w:eastAsia="仿宋_GB2312" w:cs="仿宋_GB2312"/>
          <w:color w:val="auto"/>
          <w:sz w:val="32"/>
          <w:szCs w:val="32"/>
          <w:highlight w:val="none"/>
          <w:lang w:eastAsia="zh-CN"/>
        </w:rPr>
        <w:t>国际</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国家/行业</w:t>
      </w:r>
      <w:r>
        <w:rPr>
          <w:rFonts w:hint="eastAsia" w:ascii="仿宋_GB2312" w:hAnsi="仿宋_GB2312" w:eastAsia="仿宋_GB2312" w:cs="仿宋_GB2312"/>
          <w:color w:val="auto"/>
          <w:sz w:val="32"/>
          <w:szCs w:val="32"/>
          <w:highlight w:val="none"/>
          <w:lang w:val="en-US" w:eastAsia="zh-CN"/>
        </w:rPr>
        <w:t>/地方</w:t>
      </w:r>
      <w:r>
        <w:rPr>
          <w:rFonts w:hint="eastAsia" w:ascii="仿宋_GB2312" w:hAnsi="仿宋_GB2312" w:eastAsia="仿宋_GB2312" w:cs="仿宋_GB2312"/>
          <w:color w:val="auto"/>
          <w:sz w:val="32"/>
          <w:szCs w:val="32"/>
          <w:highlight w:val="none"/>
        </w:rPr>
        <w:t>标准，并产业化应用的专利</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专精特新企业、高新技术企业、规模以上工业企业实现高价值发明专利（</w:t>
      </w:r>
      <w:r>
        <w:rPr>
          <w:rFonts w:hint="eastAsia" w:ascii="仿宋_GB2312" w:hAnsi="仿宋_GB2312" w:eastAsia="仿宋_GB2312" w:cs="仿宋_GB2312"/>
          <w:color w:val="auto"/>
          <w:sz w:val="32"/>
          <w:szCs w:val="32"/>
          <w:highlight w:val="none"/>
        </w:rPr>
        <w:t>属于战略性新兴产业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在海外有同族专利权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维持年限超</w:t>
      </w:r>
      <w:r>
        <w:rPr>
          <w:rFonts w:hint="eastAsia" w:ascii="Times New Roman" w:hAnsi="Times New Roman" w:eastAsia="仿宋_GB2312" w:cs="仿宋_GB2312"/>
          <w:color w:val="auto"/>
          <w:sz w:val="32"/>
          <w:szCs w:val="32"/>
          <w:highlight w:val="none"/>
        </w:rPr>
        <w:t>过10年</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质押融资金额超过100万</w:t>
      </w:r>
      <w:r>
        <w:rPr>
          <w:rFonts w:hint="eastAsia" w:ascii="Times New Roman" w:hAnsi="Times New Roman" w:eastAsia="仿宋_GB2312" w:cs="仿宋_GB2312"/>
          <w:color w:val="auto"/>
          <w:sz w:val="32"/>
          <w:szCs w:val="32"/>
          <w:highlight w:val="none"/>
          <w:lang w:eastAsia="zh-CN"/>
        </w:rPr>
        <w:t>、</w:t>
      </w:r>
      <w:r>
        <w:rPr>
          <w:rStyle w:val="15"/>
          <w:rFonts w:hint="eastAsia" w:ascii="Times New Roman" w:hAnsi="Times New Roman" w:eastAsia="仿宋_GB2312" w:cs="仿宋_GB2312"/>
          <w:b w:val="0"/>
          <w:i w:val="0"/>
          <w:caps w:val="0"/>
          <w:color w:val="auto"/>
          <w:spacing w:val="0"/>
          <w:sz w:val="32"/>
          <w:szCs w:val="32"/>
          <w:highlight w:val="none"/>
          <w:shd w:val="clear" w:fill="FFFFFF"/>
        </w:rPr>
        <w:t>获得国家科学技术奖或中国专利奖</w:t>
      </w:r>
      <w:r>
        <w:rPr>
          <w:rFonts w:hint="eastAsia" w:ascii="Times New Roman" w:hAnsi="Times New Roman" w:eastAsia="仿宋_GB2312" w:cs="仿宋_GB2312"/>
          <w:color w:val="auto"/>
          <w:kern w:val="2"/>
          <w:sz w:val="32"/>
          <w:szCs w:val="32"/>
          <w:highlight w:val="none"/>
          <w:lang w:val="en-US" w:eastAsia="zh-CN" w:bidi="ar-SA"/>
        </w:rPr>
        <w:t>）“破零”的，且该专利属于</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年以后授权的</w:t>
      </w:r>
      <w:r>
        <w:rPr>
          <w:rFonts w:hint="eastAsia" w:ascii="Times New Roman" w:hAnsi="Times New Roman" w:eastAsia="仿宋_GB2312" w:cs="仿宋_GB2312"/>
          <w:color w:val="auto"/>
          <w:kern w:val="2"/>
          <w:sz w:val="32"/>
          <w:szCs w:val="32"/>
          <w:highlight w:val="none"/>
          <w:lang w:val="en-US" w:eastAsia="zh-CN" w:bidi="ar-SA"/>
        </w:rPr>
        <w:t>，对申请单位一次性奖励2万元。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4" w:name="_Toc85191161"/>
      <w:r>
        <w:rPr>
          <w:rFonts w:hint="eastAsia" w:ascii="仿宋_GB2312" w:hAnsi="仿宋_GB2312" w:eastAsia="仿宋_GB2312" w:cs="仿宋_GB2312"/>
          <w:b/>
          <w:color w:val="auto"/>
          <w:sz w:val="32"/>
          <w:szCs w:val="32"/>
          <w:highlight w:val="none"/>
        </w:rPr>
        <w:t>第八条 外国发明专利授权资助</w:t>
      </w:r>
      <w:bookmarkEnd w:id="4"/>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通过</w:t>
      </w:r>
      <w:r>
        <w:rPr>
          <w:rFonts w:hint="eastAsia" w:ascii="仿宋_GB2312" w:hAnsi="仿宋_GB2312" w:eastAsia="仿宋_GB2312" w:cs="仿宋_GB2312"/>
          <w:color w:val="auto"/>
          <w:sz w:val="32"/>
          <w:szCs w:val="32"/>
          <w:highlight w:val="none"/>
          <w:lang w:val="en-US" w:eastAsia="zh-CN"/>
        </w:rPr>
        <w:t>PCT等途径申请的发明专利，</w:t>
      </w:r>
      <w:r>
        <w:rPr>
          <w:rFonts w:hint="eastAsia" w:ascii="仿宋_GB2312" w:hAnsi="仿宋_GB2312" w:eastAsia="仿宋_GB2312" w:cs="仿宋_GB2312"/>
          <w:color w:val="auto"/>
          <w:sz w:val="32"/>
          <w:szCs w:val="32"/>
          <w:highlight w:val="none"/>
        </w:rPr>
        <w:t>在欧洲专利局获得授权的，每件专利资助15000元，在美国获得授权的，每件专利资助10000元，在其他国家（地区）获得授权的，每个国家（地区）每件专利资助5000元。同一发明专利被多个国家（地区）授予专利权的，属于战略性新兴产业的，最多资助5个国家（地区），其它产业最多资助2个国家（地区）。同一申请人年度获得上述资助的总金额不超过200万元，个人申请人年度资助不超过10万元。专利权为多方共有的，由第一顺序专利权人提出申请，且第一顺序专利权人应为佛山市行政区域内注册的单位。</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5" w:name="_Toc85191162"/>
      <w:r>
        <w:rPr>
          <w:rFonts w:hint="eastAsia" w:ascii="仿宋_GB2312" w:hAnsi="仿宋_GB2312" w:eastAsia="仿宋_GB2312" w:cs="仿宋_GB2312"/>
          <w:b/>
          <w:color w:val="auto"/>
          <w:sz w:val="32"/>
          <w:szCs w:val="32"/>
          <w:highlight w:val="none"/>
        </w:rPr>
        <w:t>第九条 国际注册商标资助：</w:t>
      </w:r>
      <w:bookmarkEnd w:id="5"/>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请人通过马德里体系取得商标注册证书的，按成功注册的国家或地区的数量资助，每成功注册一个国家或地区资助1200元，每件最多资助20个国家或地区。申请人在取得马德里国际注册证书和指定国核准注册证明后，一次性申请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（二）申请人取得欧盟知识产权局、非洲知识产权组织(OAPI)、非洲地区工业产权组织（ARIPO）商标注册证书的，每件给予资助5000元。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（三）申请人在单一国家取得国外商标注册证书的，每件给予资助1500元，且同一申请人年度受资助件数不得超过3件。</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（四）申请人在港澳台地区取得商标注册证书的，每件给予资助1000元，且同一申请人年度受资助件数不得超过3件。</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本条第</w:t>
      </w:r>
      <w:r>
        <w:rPr>
          <w:rFonts w:hint="eastAsia" w:ascii="仿宋_GB2312" w:hAnsi="仿宋_GB2312" w:eastAsia="仿宋_GB2312" w:cs="仿宋_GB2312"/>
          <w:color w:val="auto"/>
          <w:sz w:val="32"/>
          <w:szCs w:val="32"/>
          <w:highlight w:val="none"/>
          <w:lang w:eastAsia="zh-CN"/>
        </w:rPr>
        <w:t>一至四项</w:t>
      </w:r>
      <w:r>
        <w:rPr>
          <w:rFonts w:hint="eastAsia" w:ascii="仿宋_GB2312" w:hAnsi="仿宋_GB2312" w:eastAsia="仿宋_GB2312" w:cs="仿宋_GB2312"/>
          <w:color w:val="auto"/>
          <w:sz w:val="32"/>
          <w:szCs w:val="32"/>
          <w:highlight w:val="none"/>
        </w:rPr>
        <w:t>商标权为多方共有的，则以第一顺序商标权人提出申请，且针对同一申请人的年度资助总额不得超过50万元。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6" w:name="_Toc85191163"/>
      <w:r>
        <w:rPr>
          <w:rFonts w:hint="eastAsia" w:ascii="仿宋_GB2312" w:hAnsi="仿宋_GB2312" w:eastAsia="仿宋_GB2312" w:cs="仿宋_GB2312"/>
          <w:b/>
          <w:color w:val="auto"/>
          <w:sz w:val="32"/>
          <w:szCs w:val="32"/>
          <w:highlight w:val="none"/>
        </w:rPr>
        <w:t>第十条 驰名商标资助：</w:t>
      </w:r>
      <w:bookmarkEnd w:id="6"/>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首次获得国家知识产权局“中国</w:t>
      </w:r>
      <w:r>
        <w:rPr>
          <w:rFonts w:hint="eastAsia" w:ascii="仿宋_GB2312" w:hAnsi="仿宋_GB2312" w:eastAsia="仿宋_GB2312" w:cs="仿宋_GB2312"/>
          <w:color w:val="auto"/>
          <w:sz w:val="32"/>
          <w:szCs w:val="32"/>
          <w:highlight w:val="none"/>
        </w:rPr>
        <w:t>驰名商标</w:t>
      </w:r>
      <w:r>
        <w:rPr>
          <w:rFonts w:hint="eastAsia" w:ascii="仿宋_GB2312" w:hAnsi="仿宋_GB2312" w:eastAsia="仿宋_GB2312" w:cs="仿宋_GB2312"/>
          <w:color w:val="auto"/>
          <w:sz w:val="32"/>
          <w:szCs w:val="32"/>
          <w:highlight w:val="none"/>
          <w:lang w:eastAsia="zh-CN"/>
        </w:rPr>
        <w:t>”认定保护的</w:t>
      </w:r>
      <w:r>
        <w:rPr>
          <w:rFonts w:hint="eastAsia" w:ascii="仿宋_GB2312" w:hAnsi="仿宋_GB2312" w:eastAsia="仿宋_GB2312" w:cs="仿宋_GB2312"/>
          <w:color w:val="auto"/>
          <w:sz w:val="32"/>
          <w:szCs w:val="32"/>
          <w:highlight w:val="none"/>
        </w:rPr>
        <w:t>，每件给予一次性资助30万元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同一商标重复认定为驰名商标的不重复资助。</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7" w:name="_Toc85191165"/>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条 专利奖资助</w:t>
      </w:r>
      <w:bookmarkEnd w:id="7"/>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（一）对获得中国发明专利金奖、银奖、优秀奖的，分别给予一次性奖励100万元、60万元、20万元，且应以</w:t>
      </w:r>
      <w:r>
        <w:rPr>
          <w:rFonts w:hint="eastAsia" w:ascii="仿宋_GB2312" w:hAnsi="仿宋_GB2312" w:eastAsia="仿宋_GB2312" w:cs="仿宋_GB2312"/>
          <w:color w:val="auto"/>
          <w:sz w:val="32"/>
          <w:szCs w:val="32"/>
          <w:highlight w:val="none"/>
          <w:lang w:eastAsia="zh-CN"/>
        </w:rPr>
        <w:t>在佛山行政区域内的</w:t>
      </w:r>
      <w:r>
        <w:rPr>
          <w:rFonts w:hint="eastAsia" w:ascii="仿宋_GB2312" w:hAnsi="仿宋_GB2312" w:eastAsia="仿宋_GB2312" w:cs="仿宋_GB2312"/>
          <w:color w:val="auto"/>
          <w:sz w:val="32"/>
          <w:szCs w:val="32"/>
          <w:highlight w:val="none"/>
        </w:rPr>
        <w:t>第一顺序专利权人申请该奖励。对获得中国外观设计专利金奖、银奖、优秀奖的，分别给予一次性奖励60万元、30万元、20万元，且应以</w:t>
      </w:r>
      <w:r>
        <w:rPr>
          <w:rFonts w:hint="eastAsia" w:ascii="仿宋_GB2312" w:hAnsi="仿宋_GB2312" w:eastAsia="仿宋_GB2312" w:cs="仿宋_GB2312"/>
          <w:color w:val="auto"/>
          <w:sz w:val="32"/>
          <w:szCs w:val="32"/>
          <w:highlight w:val="none"/>
          <w:lang w:eastAsia="zh-CN"/>
        </w:rPr>
        <w:t>在佛山行政区域内的</w:t>
      </w:r>
      <w:r>
        <w:rPr>
          <w:rFonts w:hint="eastAsia" w:ascii="仿宋_GB2312" w:hAnsi="仿宋_GB2312" w:eastAsia="仿宋_GB2312" w:cs="仿宋_GB2312"/>
          <w:color w:val="auto"/>
          <w:sz w:val="32"/>
          <w:szCs w:val="32"/>
          <w:highlight w:val="none"/>
        </w:rPr>
        <w:t>第一顺序专利权人申请该奖励。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（二）对获得广东省专利金奖、银奖、优秀奖，分别给予一次性奖励60万元、30万元、10万元，且应以</w:t>
      </w:r>
      <w:r>
        <w:rPr>
          <w:rFonts w:hint="eastAsia" w:ascii="仿宋_GB2312" w:hAnsi="仿宋_GB2312" w:eastAsia="仿宋_GB2312" w:cs="仿宋_GB2312"/>
          <w:color w:val="auto"/>
          <w:sz w:val="32"/>
          <w:szCs w:val="32"/>
          <w:highlight w:val="none"/>
          <w:lang w:eastAsia="zh-CN"/>
        </w:rPr>
        <w:t>在佛山行政区域内的</w:t>
      </w:r>
      <w:r>
        <w:rPr>
          <w:rFonts w:hint="eastAsia" w:ascii="仿宋_GB2312" w:hAnsi="仿宋_GB2312" w:eastAsia="仿宋_GB2312" w:cs="仿宋_GB2312"/>
          <w:color w:val="auto"/>
          <w:sz w:val="32"/>
          <w:szCs w:val="32"/>
          <w:highlight w:val="none"/>
        </w:rPr>
        <w:t>第一顺序专利权人申请该奖励。对户籍所在地或经常居住地为佛山市行政区域内的个人获得广东杰出发明人奖的，奖励5万元/人。</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8" w:name="_Toc85191166"/>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条 商标金奖</w:t>
      </w:r>
      <w:bookmarkEnd w:id="8"/>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对获得中国商标金奖的，给予一次性奖励100万元，获奖商标为多方共有的，应指定一方申请该奖励。</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9" w:name="_Toc85191167"/>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val="en-US" w:eastAsia="zh-CN"/>
        </w:rPr>
        <w:t>三</w:t>
      </w:r>
      <w:r>
        <w:rPr>
          <w:rFonts w:hint="eastAsia" w:ascii="仿宋_GB2312" w:hAnsi="仿宋_GB2312" w:eastAsia="仿宋_GB2312" w:cs="仿宋_GB2312"/>
          <w:b/>
          <w:color w:val="auto"/>
          <w:sz w:val="32"/>
          <w:szCs w:val="32"/>
          <w:highlight w:val="none"/>
        </w:rPr>
        <w:t>条 地理标志资助：</w:t>
      </w:r>
      <w:bookmarkEnd w:id="9"/>
      <w:r>
        <w:rPr>
          <w:rFonts w:hint="eastAsia" w:ascii="仿宋_GB2312" w:hAnsi="仿宋_GB2312" w:eastAsia="仿宋_GB2312" w:cs="仿宋_GB2312"/>
          <w:b/>
          <w:color w:val="auto"/>
          <w:sz w:val="32"/>
          <w:szCs w:val="32"/>
          <w:highlight w:val="none"/>
        </w:rPr>
        <w:t xml:space="preserve"> </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对获得地理标志保护产品或地理标志证明商标注册证书的，每件给予30万元资助。以上两项，同一产品只资助一次。</w:t>
      </w: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rFonts w:hint="eastAsia" w:eastAsia="仿宋_GB2312"/>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10" w:name="_Toc85191168"/>
      <w:r>
        <w:rPr>
          <w:rFonts w:hint="eastAsia" w:ascii="仿宋_GB2312" w:hAnsi="仿宋_GB2312" w:eastAsia="仿宋_GB2312" w:cs="仿宋_GB2312"/>
          <w:color w:val="auto"/>
          <w:highlight w:val="none"/>
        </w:rPr>
        <w:t>第二节 知识产权保护类资助</w:t>
      </w:r>
      <w:bookmarkEnd w:id="10"/>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1" w:name="_Toc85191169"/>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条 专利侵权诉讼资助</w:t>
      </w:r>
      <w:bookmarkEnd w:id="11"/>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（一）在中国提起侵权诉讼资助：佛山市行政区域内企业获得中国发明专利授权后，在法院提起发明专利侵权诉讼，最终判定专利侵权成立的，每件</w:t>
      </w:r>
      <w:r>
        <w:rPr>
          <w:rFonts w:hint="eastAsia" w:ascii="仿宋_GB2312" w:hAnsi="仿宋_GB2312" w:eastAsia="仿宋_GB2312" w:cs="仿宋_GB2312"/>
          <w:color w:val="auto"/>
          <w:sz w:val="32"/>
          <w:szCs w:val="32"/>
          <w:highlight w:val="none"/>
          <w:lang w:eastAsia="zh-CN"/>
        </w:rPr>
        <w:t>涉案专利</w:t>
      </w:r>
      <w:r>
        <w:rPr>
          <w:rFonts w:hint="eastAsia"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万元资助，侵权是否成立以法院生效的裁判文书为准。</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（二）在</w:t>
      </w:r>
      <w:r>
        <w:rPr>
          <w:rFonts w:hint="eastAsia" w:ascii="仿宋_GB2312" w:hAnsi="仿宋_GB2312" w:eastAsia="仿宋_GB2312" w:cs="仿宋_GB2312"/>
          <w:color w:val="auto"/>
          <w:sz w:val="32"/>
          <w:szCs w:val="32"/>
          <w:highlight w:val="none"/>
          <w:lang w:eastAsia="zh-CN"/>
        </w:rPr>
        <w:t>境外</w:t>
      </w:r>
      <w:r>
        <w:rPr>
          <w:rFonts w:hint="eastAsia" w:ascii="仿宋_GB2312" w:hAnsi="仿宋_GB2312" w:eastAsia="仿宋_GB2312" w:cs="仿宋_GB2312"/>
          <w:color w:val="auto"/>
          <w:sz w:val="32"/>
          <w:szCs w:val="32"/>
          <w:highlight w:val="none"/>
        </w:rPr>
        <w:t>提起侵权诉讼资助：佛山市行政区域内企业获得</w:t>
      </w:r>
      <w:r>
        <w:rPr>
          <w:rFonts w:hint="eastAsia" w:ascii="仿宋_GB2312" w:hAnsi="仿宋_GB2312" w:eastAsia="仿宋_GB2312" w:cs="仿宋_GB2312"/>
          <w:color w:val="auto"/>
          <w:sz w:val="32"/>
          <w:szCs w:val="32"/>
          <w:highlight w:val="none"/>
          <w:lang w:eastAsia="zh-CN"/>
        </w:rPr>
        <w:t>境外</w:t>
      </w:r>
      <w:r>
        <w:rPr>
          <w:rFonts w:hint="eastAsia" w:ascii="仿宋_GB2312" w:hAnsi="仿宋_GB2312" w:eastAsia="仿宋_GB2312" w:cs="仿宋_GB2312"/>
          <w:color w:val="auto"/>
          <w:sz w:val="32"/>
          <w:szCs w:val="32"/>
          <w:highlight w:val="none"/>
        </w:rPr>
        <w:t>专利授权</w:t>
      </w:r>
      <w:r>
        <w:rPr>
          <w:rFonts w:hint="eastAsia" w:ascii="仿宋_GB2312" w:hAnsi="仿宋_GB2312" w:eastAsia="仿宋_GB2312" w:cs="仿宋_GB2312"/>
          <w:color w:val="auto"/>
          <w:sz w:val="32"/>
          <w:szCs w:val="32"/>
          <w:highlight w:val="none"/>
          <w:lang w:eastAsia="zh-CN"/>
        </w:rPr>
        <w:t>或商标注册</w:t>
      </w:r>
      <w:r>
        <w:rPr>
          <w:rFonts w:hint="eastAsia" w:ascii="仿宋_GB2312" w:hAnsi="仿宋_GB2312" w:eastAsia="仿宋_GB2312" w:cs="仿宋_GB2312"/>
          <w:color w:val="auto"/>
          <w:sz w:val="32"/>
          <w:szCs w:val="32"/>
          <w:highlight w:val="none"/>
        </w:rPr>
        <w:t>后，在</w:t>
      </w:r>
      <w:r>
        <w:rPr>
          <w:rFonts w:hint="eastAsia" w:ascii="仿宋_GB2312" w:hAnsi="仿宋_GB2312" w:eastAsia="仿宋_GB2312" w:cs="仿宋_GB2312"/>
          <w:color w:val="auto"/>
          <w:sz w:val="32"/>
          <w:szCs w:val="32"/>
          <w:highlight w:val="none"/>
          <w:lang w:eastAsia="zh-CN"/>
        </w:rPr>
        <w:t>境外</w:t>
      </w:r>
      <w:r>
        <w:rPr>
          <w:rFonts w:hint="eastAsia" w:ascii="仿宋_GB2312" w:hAnsi="仿宋_GB2312" w:eastAsia="仿宋_GB2312" w:cs="仿宋_GB2312"/>
          <w:color w:val="auto"/>
          <w:sz w:val="32"/>
          <w:szCs w:val="32"/>
          <w:highlight w:val="none"/>
        </w:rPr>
        <w:t>提起专利</w:t>
      </w:r>
      <w:r>
        <w:rPr>
          <w:rFonts w:hint="eastAsia" w:ascii="仿宋_GB2312" w:hAnsi="仿宋_GB2312" w:eastAsia="仿宋_GB2312" w:cs="仿宋_GB2312"/>
          <w:color w:val="auto"/>
          <w:sz w:val="32"/>
          <w:szCs w:val="32"/>
          <w:highlight w:val="none"/>
          <w:lang w:eastAsia="zh-CN"/>
        </w:rPr>
        <w:t>商标</w:t>
      </w:r>
      <w:r>
        <w:rPr>
          <w:rFonts w:hint="eastAsia" w:ascii="仿宋_GB2312" w:hAnsi="仿宋_GB2312" w:eastAsia="仿宋_GB2312" w:cs="仿宋_GB2312"/>
          <w:color w:val="auto"/>
          <w:sz w:val="32"/>
          <w:szCs w:val="32"/>
          <w:highlight w:val="none"/>
        </w:rPr>
        <w:t>侵权诉讼，最终判定侵权成立的，美国、日本、欧盟国家每件</w:t>
      </w:r>
      <w:r>
        <w:rPr>
          <w:rFonts w:hint="eastAsia" w:ascii="仿宋_GB2312" w:hAnsi="仿宋_GB2312" w:eastAsia="仿宋_GB2312" w:cs="仿宋_GB2312"/>
          <w:color w:val="auto"/>
          <w:sz w:val="32"/>
          <w:szCs w:val="32"/>
          <w:highlight w:val="none"/>
          <w:lang w:eastAsia="zh-CN"/>
        </w:rPr>
        <w:t>涉案专利或商标</w:t>
      </w:r>
      <w:r>
        <w:rPr>
          <w:rFonts w:hint="eastAsia" w:ascii="仿宋_GB2312" w:hAnsi="仿宋_GB2312" w:eastAsia="仿宋_GB2312" w:cs="仿宋_GB2312"/>
          <w:color w:val="auto"/>
          <w:sz w:val="32"/>
          <w:szCs w:val="32"/>
          <w:highlight w:val="none"/>
        </w:rPr>
        <w:t>给予30万元资助</w:t>
      </w:r>
      <w:r>
        <w:rPr>
          <w:rFonts w:hint="eastAsia" w:ascii="仿宋_GB2312" w:hAnsi="仿宋_GB2312" w:eastAsia="仿宋_GB2312" w:cs="仿宋_GB2312"/>
          <w:color w:val="auto"/>
          <w:sz w:val="32"/>
          <w:szCs w:val="32"/>
          <w:highlight w:val="none"/>
          <w:lang w:eastAsia="zh-CN"/>
        </w:rPr>
        <w:t>，其他国家或地区每件涉案专利或商标给予</w:t>
      </w:r>
      <w:r>
        <w:rPr>
          <w:rFonts w:hint="eastAsia" w:ascii="仿宋_GB2312" w:hAnsi="仿宋_GB2312" w:eastAsia="仿宋_GB2312" w:cs="仿宋_GB2312"/>
          <w:color w:val="auto"/>
          <w:sz w:val="32"/>
          <w:szCs w:val="32"/>
          <w:highlight w:val="none"/>
          <w:lang w:val="en-US" w:eastAsia="zh-CN"/>
        </w:rPr>
        <w:t>15万元资助</w:t>
      </w:r>
      <w:r>
        <w:rPr>
          <w:rFonts w:hint="eastAsia" w:ascii="仿宋_GB2312" w:hAnsi="仿宋_GB2312" w:eastAsia="仿宋_GB2312" w:cs="仿宋_GB2312"/>
          <w:color w:val="auto"/>
          <w:sz w:val="32"/>
          <w:szCs w:val="32"/>
          <w:highlight w:val="none"/>
        </w:rPr>
        <w:t>。侵权是否成立以法院生效的裁判文书为准。</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2" w:name="_Toc85191170"/>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条 专利无效请求资助：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（一）在法院或者市、区专利行政管理部门被诉专利侵权的佛山市行政区域内企业，</w:t>
      </w:r>
      <w:r>
        <w:rPr>
          <w:rFonts w:hint="eastAsia" w:ascii="仿宋_GB2312" w:hAnsi="仿宋_GB2312" w:eastAsia="仿宋_GB2312" w:cs="仿宋_GB2312"/>
          <w:color w:val="auto"/>
          <w:sz w:val="32"/>
          <w:szCs w:val="32"/>
          <w:highlight w:val="none"/>
          <w:lang w:eastAsia="zh-CN"/>
        </w:rPr>
        <w:t>对涉案专利权</w:t>
      </w:r>
      <w:r>
        <w:rPr>
          <w:rFonts w:hint="eastAsia" w:ascii="仿宋_GB2312" w:hAnsi="仿宋_GB2312" w:eastAsia="仿宋_GB2312" w:cs="仿宋_GB2312"/>
          <w:color w:val="auto"/>
          <w:sz w:val="32"/>
          <w:szCs w:val="32"/>
          <w:highlight w:val="none"/>
        </w:rPr>
        <w:t>向国家知识产权局</w:t>
      </w:r>
      <w:r>
        <w:rPr>
          <w:rFonts w:hint="eastAsia" w:ascii="仿宋_GB2312" w:hAnsi="仿宋_GB2312" w:eastAsia="仿宋_GB2312" w:cs="仿宋_GB2312"/>
          <w:color w:val="auto"/>
          <w:sz w:val="32"/>
          <w:szCs w:val="32"/>
          <w:highlight w:val="none"/>
          <w:lang w:eastAsia="zh-CN"/>
        </w:rPr>
        <w:t>提出无效宣告请求并最终被</w:t>
      </w:r>
      <w:r>
        <w:rPr>
          <w:rFonts w:hint="eastAsia" w:ascii="仿宋_GB2312" w:hAnsi="仿宋_GB2312" w:eastAsia="仿宋_GB2312" w:cs="仿宋_GB2312"/>
          <w:color w:val="auto"/>
          <w:sz w:val="32"/>
          <w:szCs w:val="32"/>
          <w:highlight w:val="none"/>
        </w:rPr>
        <w:t>全部或</w:t>
      </w:r>
      <w:r>
        <w:rPr>
          <w:rFonts w:hint="eastAsia" w:ascii="仿宋_GB2312" w:hAnsi="仿宋_GB2312" w:eastAsia="仿宋_GB2312" w:cs="仿宋_GB2312"/>
          <w:color w:val="auto"/>
          <w:sz w:val="32"/>
          <w:szCs w:val="32"/>
          <w:highlight w:val="none"/>
          <w:lang w:eastAsia="zh-CN"/>
        </w:rPr>
        <w:t>一项以上独立权利要求</w:t>
      </w:r>
      <w:r>
        <w:rPr>
          <w:rFonts w:hint="eastAsia" w:ascii="仿宋_GB2312" w:hAnsi="仿宋_GB2312" w:eastAsia="仿宋_GB2312" w:cs="仿宋_GB2312"/>
          <w:color w:val="auto"/>
          <w:sz w:val="32"/>
          <w:szCs w:val="32"/>
          <w:highlight w:val="none"/>
        </w:rPr>
        <w:t>无效的，每件</w:t>
      </w:r>
      <w:r>
        <w:rPr>
          <w:rFonts w:hint="eastAsia" w:ascii="仿宋_GB2312" w:hAnsi="仿宋_GB2312" w:eastAsia="仿宋_GB2312" w:cs="仿宋_GB2312"/>
          <w:color w:val="auto"/>
          <w:sz w:val="32"/>
          <w:szCs w:val="32"/>
          <w:highlight w:val="none"/>
          <w:lang w:eastAsia="zh-CN"/>
        </w:rPr>
        <w:t>涉案专利</w:t>
      </w:r>
      <w:r>
        <w:rPr>
          <w:rFonts w:hint="eastAsia" w:ascii="仿宋_GB2312" w:hAnsi="仿宋_GB2312" w:eastAsia="仿宋_GB2312" w:cs="仿宋_GB2312"/>
          <w:color w:val="auto"/>
          <w:sz w:val="32"/>
          <w:szCs w:val="32"/>
          <w:highlight w:val="none"/>
        </w:rPr>
        <w:t>给予3.5万元资助。</w:t>
      </w:r>
    </w:p>
    <w:bookmarkEnd w:id="12"/>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（二）在</w:t>
      </w:r>
      <w:r>
        <w:rPr>
          <w:rFonts w:hint="eastAsia" w:ascii="仿宋_GB2312" w:hAnsi="仿宋_GB2312" w:eastAsia="仿宋_GB2312" w:cs="仿宋_GB2312"/>
          <w:color w:val="auto"/>
          <w:sz w:val="32"/>
          <w:szCs w:val="32"/>
          <w:highlight w:val="none"/>
          <w:lang w:eastAsia="zh-CN"/>
        </w:rPr>
        <w:t>境外的</w:t>
      </w:r>
      <w:r>
        <w:rPr>
          <w:rFonts w:hint="eastAsia" w:ascii="仿宋_GB2312" w:hAnsi="仿宋_GB2312" w:eastAsia="仿宋_GB2312" w:cs="仿宋_GB2312"/>
          <w:color w:val="auto"/>
          <w:sz w:val="32"/>
          <w:szCs w:val="32"/>
          <w:highlight w:val="none"/>
        </w:rPr>
        <w:t>知识产权主管部门或者法院被诉专利侵权的佛山市行政区域内企</w:t>
      </w:r>
      <w:r>
        <w:rPr>
          <w:rFonts w:hint="eastAsia" w:ascii="仿宋_GB2312" w:hAnsi="仿宋_GB2312" w:eastAsia="仿宋_GB2312" w:cs="仿宋_GB2312"/>
          <w:color w:val="auto"/>
          <w:sz w:val="32"/>
          <w:szCs w:val="32"/>
          <w:highlight w:val="none"/>
          <w:lang w:eastAsia="zh-CN"/>
        </w:rPr>
        <w:t>，对涉案专利权提出无效宣告请求并最终被</w:t>
      </w:r>
      <w:r>
        <w:rPr>
          <w:rFonts w:hint="eastAsia" w:ascii="仿宋_GB2312" w:hAnsi="仿宋_GB2312" w:eastAsia="仿宋_GB2312" w:cs="仿宋_GB2312"/>
          <w:color w:val="auto"/>
          <w:sz w:val="32"/>
          <w:szCs w:val="32"/>
          <w:highlight w:val="none"/>
        </w:rPr>
        <w:t>全部或</w:t>
      </w:r>
      <w:r>
        <w:rPr>
          <w:rFonts w:hint="eastAsia" w:ascii="仿宋_GB2312" w:hAnsi="仿宋_GB2312" w:eastAsia="仿宋_GB2312" w:cs="仿宋_GB2312"/>
          <w:color w:val="auto"/>
          <w:sz w:val="32"/>
          <w:szCs w:val="32"/>
          <w:highlight w:val="none"/>
          <w:lang w:eastAsia="zh-CN"/>
        </w:rPr>
        <w:t>一项以上独立权利要求</w:t>
      </w:r>
      <w:r>
        <w:rPr>
          <w:rFonts w:hint="eastAsia" w:ascii="仿宋_GB2312" w:hAnsi="仿宋_GB2312" w:eastAsia="仿宋_GB2312" w:cs="仿宋_GB2312"/>
          <w:color w:val="auto"/>
          <w:sz w:val="32"/>
          <w:szCs w:val="32"/>
          <w:highlight w:val="none"/>
        </w:rPr>
        <w:t>无效的，美国、日本、欧盟国家每件</w:t>
      </w:r>
      <w:r>
        <w:rPr>
          <w:rFonts w:hint="eastAsia" w:ascii="仿宋_GB2312" w:hAnsi="仿宋_GB2312" w:eastAsia="仿宋_GB2312" w:cs="仿宋_GB2312"/>
          <w:color w:val="auto"/>
          <w:sz w:val="32"/>
          <w:szCs w:val="32"/>
          <w:highlight w:val="none"/>
          <w:lang w:eastAsia="zh-CN"/>
        </w:rPr>
        <w:t>涉案专利</w:t>
      </w:r>
      <w:r>
        <w:rPr>
          <w:rFonts w:hint="eastAsia" w:ascii="仿宋_GB2312" w:hAnsi="仿宋_GB2312" w:eastAsia="仿宋_GB2312" w:cs="仿宋_GB2312"/>
          <w:color w:val="auto"/>
          <w:sz w:val="32"/>
          <w:szCs w:val="32"/>
          <w:highlight w:val="none"/>
        </w:rPr>
        <w:t>给予30万元资助</w:t>
      </w:r>
      <w:r>
        <w:rPr>
          <w:rFonts w:hint="eastAsia" w:ascii="仿宋_GB2312" w:hAnsi="仿宋_GB2312" w:eastAsia="仿宋_GB2312" w:cs="仿宋_GB2312"/>
          <w:color w:val="auto"/>
          <w:sz w:val="32"/>
          <w:szCs w:val="32"/>
          <w:highlight w:val="none"/>
          <w:lang w:eastAsia="zh-CN"/>
        </w:rPr>
        <w:t>，其他国家或地区每件涉案专利给予</w:t>
      </w:r>
      <w:r>
        <w:rPr>
          <w:rFonts w:hint="eastAsia" w:ascii="仿宋_GB2312" w:hAnsi="仿宋_GB2312" w:eastAsia="仿宋_GB2312" w:cs="仿宋_GB2312"/>
          <w:color w:val="auto"/>
          <w:sz w:val="32"/>
          <w:szCs w:val="32"/>
          <w:highlight w:val="none"/>
          <w:lang w:val="en-US" w:eastAsia="zh-CN"/>
        </w:rPr>
        <w:t>15万元资助</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3" w:name="_Toc85191171"/>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条 应对</w:t>
      </w:r>
      <w:r>
        <w:rPr>
          <w:rFonts w:hint="eastAsia" w:ascii="仿宋_GB2312" w:hAnsi="仿宋_GB2312" w:eastAsia="仿宋_GB2312" w:cs="仿宋_GB2312"/>
          <w:b/>
          <w:bCs/>
          <w:color w:val="auto"/>
          <w:sz w:val="32"/>
          <w:szCs w:val="32"/>
          <w:highlight w:val="none"/>
          <w:lang w:eastAsia="zh-CN"/>
        </w:rPr>
        <w:t>境外</w:t>
      </w:r>
      <w:r>
        <w:rPr>
          <w:rFonts w:hint="eastAsia" w:ascii="仿宋_GB2312" w:hAnsi="仿宋_GB2312" w:eastAsia="仿宋_GB2312" w:cs="仿宋_GB2312"/>
          <w:b/>
          <w:bCs/>
          <w:color w:val="auto"/>
          <w:sz w:val="32"/>
          <w:szCs w:val="32"/>
          <w:highlight w:val="none"/>
        </w:rPr>
        <w:t>专利</w:t>
      </w:r>
      <w:r>
        <w:rPr>
          <w:rFonts w:hint="eastAsia" w:ascii="仿宋_GB2312" w:hAnsi="仿宋_GB2312" w:eastAsia="仿宋_GB2312" w:cs="仿宋_GB2312"/>
          <w:b/>
          <w:bCs/>
          <w:color w:val="auto"/>
          <w:sz w:val="32"/>
          <w:szCs w:val="32"/>
          <w:highlight w:val="none"/>
          <w:lang w:eastAsia="zh-CN"/>
        </w:rPr>
        <w:t>或商标</w:t>
      </w:r>
      <w:r>
        <w:rPr>
          <w:rFonts w:hint="eastAsia" w:ascii="仿宋_GB2312" w:hAnsi="仿宋_GB2312" w:eastAsia="仿宋_GB2312" w:cs="仿宋_GB2312"/>
          <w:b/>
          <w:bCs/>
          <w:color w:val="auto"/>
          <w:sz w:val="32"/>
          <w:szCs w:val="32"/>
          <w:highlight w:val="none"/>
        </w:rPr>
        <w:t>侵权诉</w:t>
      </w:r>
      <w:r>
        <w:rPr>
          <w:rFonts w:hint="eastAsia" w:ascii="仿宋_GB2312" w:hAnsi="仿宋_GB2312" w:eastAsia="仿宋_GB2312" w:cs="仿宋_GB2312"/>
          <w:b/>
          <w:color w:val="auto"/>
          <w:sz w:val="32"/>
          <w:szCs w:val="32"/>
          <w:highlight w:val="none"/>
        </w:rPr>
        <w:t>讼资助</w:t>
      </w:r>
      <w:bookmarkEnd w:id="13"/>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佛山市行政区域内企业在</w:t>
      </w:r>
      <w:r>
        <w:rPr>
          <w:rFonts w:hint="eastAsia" w:ascii="仿宋_GB2312" w:hAnsi="仿宋_GB2312" w:eastAsia="仿宋_GB2312" w:cs="仿宋_GB2312"/>
          <w:color w:val="auto"/>
          <w:sz w:val="32"/>
          <w:szCs w:val="32"/>
          <w:highlight w:val="none"/>
          <w:lang w:eastAsia="zh-CN"/>
        </w:rPr>
        <w:t>境外</w:t>
      </w:r>
      <w:r>
        <w:rPr>
          <w:rFonts w:hint="eastAsia" w:ascii="仿宋_GB2312" w:hAnsi="仿宋_GB2312" w:eastAsia="仿宋_GB2312" w:cs="仿宋_GB2312"/>
          <w:color w:val="auto"/>
          <w:sz w:val="32"/>
          <w:szCs w:val="32"/>
          <w:highlight w:val="none"/>
        </w:rPr>
        <w:t>应对专利</w:t>
      </w:r>
      <w:r>
        <w:rPr>
          <w:rFonts w:hint="eastAsia" w:ascii="仿宋_GB2312" w:hAnsi="仿宋_GB2312" w:eastAsia="仿宋_GB2312" w:cs="仿宋_GB2312"/>
          <w:color w:val="auto"/>
          <w:sz w:val="32"/>
          <w:szCs w:val="32"/>
          <w:highlight w:val="none"/>
          <w:lang w:eastAsia="zh-CN"/>
        </w:rPr>
        <w:t>或商标</w:t>
      </w:r>
      <w:r>
        <w:rPr>
          <w:rFonts w:hint="eastAsia" w:ascii="仿宋_GB2312" w:hAnsi="仿宋_GB2312" w:eastAsia="仿宋_GB2312" w:cs="仿宋_GB2312"/>
          <w:color w:val="auto"/>
          <w:sz w:val="32"/>
          <w:szCs w:val="32"/>
          <w:highlight w:val="none"/>
        </w:rPr>
        <w:t>侵权诉讼，最终判定侵权不成立的，美国、日本、欧盟国家每件</w:t>
      </w:r>
      <w:r>
        <w:rPr>
          <w:rFonts w:hint="eastAsia" w:ascii="仿宋_GB2312" w:hAnsi="仿宋_GB2312" w:eastAsia="仿宋_GB2312" w:cs="仿宋_GB2312"/>
          <w:color w:val="auto"/>
          <w:sz w:val="32"/>
          <w:szCs w:val="32"/>
          <w:highlight w:val="none"/>
          <w:lang w:eastAsia="zh-CN"/>
        </w:rPr>
        <w:t>涉案专利或商标</w:t>
      </w:r>
      <w:r>
        <w:rPr>
          <w:rFonts w:hint="eastAsia" w:ascii="仿宋_GB2312" w:hAnsi="仿宋_GB2312" w:eastAsia="仿宋_GB2312" w:cs="仿宋_GB2312"/>
          <w:color w:val="auto"/>
          <w:sz w:val="32"/>
          <w:szCs w:val="32"/>
          <w:highlight w:val="none"/>
        </w:rPr>
        <w:t>给予30万元资助</w:t>
      </w:r>
      <w:r>
        <w:rPr>
          <w:rFonts w:hint="eastAsia" w:ascii="仿宋_GB2312" w:hAnsi="仿宋_GB2312" w:eastAsia="仿宋_GB2312" w:cs="仿宋_GB2312"/>
          <w:color w:val="auto"/>
          <w:sz w:val="32"/>
          <w:szCs w:val="32"/>
          <w:highlight w:val="none"/>
          <w:lang w:eastAsia="zh-CN"/>
        </w:rPr>
        <w:t>，其他国家或地区每件涉案专利或商标给予</w:t>
      </w:r>
      <w:r>
        <w:rPr>
          <w:rFonts w:hint="eastAsia" w:ascii="仿宋_GB2312" w:hAnsi="仿宋_GB2312" w:eastAsia="仿宋_GB2312" w:cs="仿宋_GB2312"/>
          <w:color w:val="auto"/>
          <w:sz w:val="32"/>
          <w:szCs w:val="32"/>
          <w:highlight w:val="none"/>
          <w:lang w:val="en-US" w:eastAsia="zh-CN"/>
        </w:rPr>
        <w:t>15万元资助</w:t>
      </w:r>
      <w:r>
        <w:rPr>
          <w:rFonts w:hint="eastAsia" w:ascii="仿宋_GB2312" w:hAnsi="仿宋_GB2312" w:eastAsia="仿宋_GB2312" w:cs="仿宋_GB2312"/>
          <w:color w:val="auto"/>
          <w:sz w:val="32"/>
          <w:szCs w:val="32"/>
          <w:highlight w:val="none"/>
        </w:rPr>
        <w:t>。侵权是否成立以法院生效的裁判文书为准。</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4" w:name="_Toc85191173"/>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 xml:space="preserve">条 </w:t>
      </w:r>
      <w:bookmarkEnd w:id="14"/>
      <w:r>
        <w:rPr>
          <w:rFonts w:hint="eastAsia" w:ascii="仿宋_GB2312" w:hAnsi="仿宋_GB2312" w:eastAsia="仿宋_GB2312" w:cs="仿宋_GB2312"/>
          <w:b/>
          <w:color w:val="auto"/>
          <w:sz w:val="32"/>
          <w:szCs w:val="32"/>
          <w:highlight w:val="none"/>
        </w:rPr>
        <w:t>知识产权保护工作站资助：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鼓励大型园区、产业聚集区、行业协会</w:t>
      </w:r>
      <w:r>
        <w:rPr>
          <w:rFonts w:hint="eastAsia" w:ascii="仿宋_GB2312" w:hAnsi="仿宋_GB2312" w:eastAsia="仿宋_GB2312" w:cs="仿宋_GB2312"/>
          <w:color w:val="auto"/>
          <w:sz w:val="32"/>
          <w:szCs w:val="32"/>
          <w:highlight w:val="none"/>
          <w:lang w:eastAsia="zh-CN"/>
        </w:rPr>
        <w:t>、专业市场等</w:t>
      </w:r>
      <w:r>
        <w:rPr>
          <w:rFonts w:hint="eastAsia" w:ascii="仿宋_GB2312" w:hAnsi="仿宋_GB2312" w:eastAsia="仿宋_GB2312" w:cs="仿宋_GB2312"/>
          <w:color w:val="auto"/>
          <w:sz w:val="32"/>
          <w:szCs w:val="32"/>
          <w:highlight w:val="none"/>
        </w:rPr>
        <w:t>建立知识产权保护工作站，为企业提供知识产权信息检索、法律咨询、争议解决、宣传培训等综合性维权服务，健全相应的行业知识产权制度和自律机制，提升产业知识产权保护治理能力。对</w:t>
      </w:r>
      <w:r>
        <w:rPr>
          <w:rFonts w:hint="eastAsia" w:ascii="仿宋_GB2312" w:hAnsi="仿宋_GB2312" w:eastAsia="仿宋_GB2312" w:cs="仿宋_GB2312"/>
          <w:color w:val="auto"/>
          <w:sz w:val="32"/>
          <w:szCs w:val="32"/>
          <w:highlight w:val="none"/>
          <w:lang w:eastAsia="zh-CN"/>
        </w:rPr>
        <w:t>评为优秀（示范）</w:t>
      </w:r>
      <w:r>
        <w:rPr>
          <w:rFonts w:hint="eastAsia" w:ascii="仿宋_GB2312" w:hAnsi="仿宋_GB2312" w:eastAsia="仿宋_GB2312" w:cs="仿宋_GB2312"/>
          <w:color w:val="auto"/>
          <w:sz w:val="32"/>
          <w:szCs w:val="32"/>
          <w:highlight w:val="none"/>
        </w:rPr>
        <w:t>知识产权保护工作站</w:t>
      </w:r>
      <w:r>
        <w:rPr>
          <w:rFonts w:hint="eastAsia" w:ascii="仿宋_GB2312" w:hAnsi="仿宋_GB2312" w:eastAsia="仿宋_GB2312" w:cs="仿宋_GB2312"/>
          <w:color w:val="auto"/>
          <w:sz w:val="32"/>
          <w:szCs w:val="32"/>
          <w:highlight w:val="none"/>
          <w:lang w:eastAsia="zh-CN"/>
        </w:rPr>
        <w:t>的单位</w:t>
      </w:r>
      <w:r>
        <w:rPr>
          <w:rFonts w:hint="eastAsia" w:ascii="仿宋_GB2312" w:hAnsi="仿宋_GB2312" w:eastAsia="仿宋_GB2312" w:cs="仿宋_GB2312"/>
          <w:color w:val="auto"/>
          <w:sz w:val="32"/>
          <w:szCs w:val="32"/>
          <w:highlight w:val="none"/>
        </w:rPr>
        <w:t>进行资助，每</w:t>
      </w:r>
      <w:r>
        <w:rPr>
          <w:rFonts w:hint="eastAsia" w:ascii="仿宋_GB2312" w:hAnsi="仿宋_GB2312" w:eastAsia="仿宋_GB2312" w:cs="仿宋_GB2312"/>
          <w:color w:val="auto"/>
          <w:sz w:val="32"/>
          <w:szCs w:val="32"/>
          <w:highlight w:val="none"/>
          <w:lang w:eastAsia="zh-CN"/>
        </w:rPr>
        <w:t>个单位资助</w:t>
      </w:r>
      <w:r>
        <w:rPr>
          <w:rFonts w:hint="eastAsia" w:ascii="仿宋_GB2312" w:hAnsi="仿宋_GB2312" w:eastAsia="仿宋_GB2312" w:cs="仿宋_GB2312"/>
          <w:color w:val="auto"/>
          <w:sz w:val="32"/>
          <w:szCs w:val="32"/>
          <w:highlight w:val="none"/>
        </w:rPr>
        <w:t>20万元。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十八</w:t>
      </w:r>
      <w:r>
        <w:rPr>
          <w:rFonts w:hint="eastAsia" w:ascii="仿宋_GB2312" w:hAnsi="仿宋_GB2312" w:eastAsia="仿宋_GB2312" w:cs="仿宋_GB2312"/>
          <w:b/>
          <w:color w:val="auto"/>
          <w:sz w:val="32"/>
          <w:szCs w:val="32"/>
          <w:highlight w:val="none"/>
        </w:rPr>
        <w:t>条 商标</w:t>
      </w:r>
      <w:r>
        <w:rPr>
          <w:rFonts w:hint="eastAsia" w:ascii="仿宋_GB2312" w:hAnsi="仿宋_GB2312" w:eastAsia="仿宋_GB2312" w:cs="仿宋_GB2312"/>
          <w:b/>
          <w:color w:val="auto"/>
          <w:sz w:val="32"/>
          <w:szCs w:val="32"/>
          <w:highlight w:val="none"/>
          <w:lang w:eastAsia="zh-CN"/>
        </w:rPr>
        <w:t>品牌培育</w:t>
      </w:r>
      <w:r>
        <w:rPr>
          <w:rFonts w:hint="eastAsia" w:ascii="仿宋_GB2312" w:hAnsi="仿宋_GB2312" w:eastAsia="仿宋_GB2312" w:cs="仿宋_GB2312"/>
          <w:b/>
          <w:color w:val="auto"/>
          <w:sz w:val="32"/>
          <w:szCs w:val="32"/>
          <w:highlight w:val="none"/>
        </w:rPr>
        <w:t>指导站建设资助：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鼓励大型园区、产业聚集区、行业协会</w:t>
      </w:r>
      <w:r>
        <w:rPr>
          <w:rFonts w:hint="eastAsia" w:ascii="仿宋_GB2312" w:hAnsi="仿宋_GB2312" w:eastAsia="仿宋_GB2312" w:cs="仿宋_GB2312"/>
          <w:color w:val="auto"/>
          <w:sz w:val="32"/>
          <w:szCs w:val="32"/>
          <w:highlight w:val="none"/>
          <w:lang w:eastAsia="zh-CN"/>
        </w:rPr>
        <w:t>、专业市场等</w:t>
      </w:r>
      <w:r>
        <w:rPr>
          <w:rFonts w:hint="eastAsia" w:ascii="仿宋_GB2312" w:hAnsi="仿宋_GB2312" w:eastAsia="仿宋_GB2312" w:cs="仿宋_GB2312"/>
          <w:b/>
          <w:color w:val="auto"/>
          <w:sz w:val="32"/>
          <w:szCs w:val="32"/>
          <w:highlight w:val="none"/>
          <w:lang w:eastAsia="zh-CN"/>
        </w:rPr>
        <w:t>建设</w:t>
      </w:r>
      <w:r>
        <w:rPr>
          <w:rFonts w:hint="eastAsia" w:ascii="仿宋_GB2312" w:hAnsi="仿宋_GB2312" w:eastAsia="仿宋_GB2312" w:cs="仿宋_GB2312"/>
          <w:color w:val="auto"/>
          <w:sz w:val="32"/>
          <w:szCs w:val="32"/>
          <w:highlight w:val="none"/>
        </w:rPr>
        <w:t>商标</w:t>
      </w:r>
      <w:r>
        <w:rPr>
          <w:rFonts w:hint="eastAsia" w:ascii="仿宋_GB2312" w:hAnsi="仿宋_GB2312" w:eastAsia="仿宋_GB2312" w:cs="仿宋_GB2312"/>
          <w:color w:val="auto"/>
          <w:sz w:val="32"/>
          <w:szCs w:val="32"/>
          <w:highlight w:val="none"/>
          <w:lang w:eastAsia="zh-CN"/>
        </w:rPr>
        <w:t>品牌培育</w:t>
      </w:r>
      <w:r>
        <w:rPr>
          <w:rFonts w:hint="eastAsia" w:ascii="仿宋_GB2312" w:hAnsi="仿宋_GB2312" w:eastAsia="仿宋_GB2312" w:cs="仿宋_GB2312"/>
          <w:color w:val="auto"/>
          <w:sz w:val="32"/>
          <w:szCs w:val="32"/>
          <w:highlight w:val="none"/>
        </w:rPr>
        <w:t>指导站，通过行政指导、普法宣传等各种方式，加大商标品牌培育和保护力度，提高企业商标注册、运用、保护和管理的能力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营造“重商标、创品牌、促发展”的良好环境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评为优秀（示范）</w:t>
      </w:r>
      <w:r>
        <w:rPr>
          <w:rFonts w:hint="eastAsia" w:ascii="仿宋_GB2312" w:hAnsi="仿宋_GB2312" w:eastAsia="仿宋_GB2312" w:cs="仿宋_GB2312"/>
          <w:color w:val="auto"/>
          <w:sz w:val="32"/>
          <w:szCs w:val="32"/>
          <w:highlight w:val="none"/>
        </w:rPr>
        <w:t>商标品牌</w:t>
      </w:r>
      <w:r>
        <w:rPr>
          <w:rFonts w:hint="eastAsia" w:ascii="仿宋_GB2312" w:hAnsi="仿宋_GB2312" w:eastAsia="仿宋_GB2312" w:cs="仿宋_GB2312"/>
          <w:color w:val="auto"/>
          <w:sz w:val="32"/>
          <w:szCs w:val="32"/>
          <w:highlight w:val="none"/>
          <w:lang w:eastAsia="zh-CN"/>
        </w:rPr>
        <w:t>培育</w:t>
      </w:r>
      <w:r>
        <w:rPr>
          <w:rFonts w:hint="eastAsia" w:ascii="仿宋_GB2312" w:hAnsi="仿宋_GB2312" w:eastAsia="仿宋_GB2312" w:cs="仿宋_GB2312"/>
          <w:color w:val="auto"/>
          <w:sz w:val="32"/>
          <w:szCs w:val="32"/>
          <w:highlight w:val="none"/>
        </w:rPr>
        <w:t>指导站</w:t>
      </w:r>
      <w:r>
        <w:rPr>
          <w:rFonts w:hint="eastAsia" w:ascii="仿宋_GB2312" w:hAnsi="仿宋_GB2312" w:eastAsia="仿宋_GB2312" w:cs="仿宋_GB2312"/>
          <w:color w:val="auto"/>
          <w:sz w:val="32"/>
          <w:szCs w:val="32"/>
          <w:highlight w:val="none"/>
          <w:lang w:eastAsia="zh-CN"/>
        </w:rPr>
        <w:t>的单位</w:t>
      </w:r>
      <w:r>
        <w:rPr>
          <w:rFonts w:hint="eastAsia" w:ascii="仿宋_GB2312" w:hAnsi="仿宋_GB2312" w:eastAsia="仿宋_GB2312" w:cs="仿宋_GB2312"/>
          <w:color w:val="auto"/>
          <w:sz w:val="32"/>
          <w:szCs w:val="32"/>
          <w:highlight w:val="none"/>
        </w:rPr>
        <w:t>给予资助，每</w:t>
      </w:r>
      <w:r>
        <w:rPr>
          <w:rFonts w:hint="eastAsia" w:ascii="仿宋_GB2312" w:hAnsi="仿宋_GB2312" w:eastAsia="仿宋_GB2312" w:cs="仿宋_GB2312"/>
          <w:color w:val="auto"/>
          <w:sz w:val="32"/>
          <w:szCs w:val="32"/>
          <w:highlight w:val="none"/>
          <w:lang w:eastAsia="zh-CN"/>
        </w:rPr>
        <w:t>个单位资助</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第十九条 知识产权保护纠纷调解组织资助：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支持行业协会、知识产权服务机构、企事业单位等建立人民调解、商事调解、行业调解等知识产权纠纷调解组织，鼓励调解组织与法院等司法部门建立诉调对接机制。对</w:t>
      </w:r>
      <w:r>
        <w:rPr>
          <w:rFonts w:hint="eastAsia" w:ascii="仿宋_GB2312" w:hAnsi="仿宋_GB2312" w:eastAsia="仿宋_GB2312" w:cs="仿宋_GB2312"/>
          <w:color w:val="auto"/>
          <w:sz w:val="32"/>
          <w:szCs w:val="32"/>
          <w:highlight w:val="none"/>
          <w:lang w:eastAsia="zh-CN"/>
        </w:rPr>
        <w:t>被司法部门或行政部门认定的</w:t>
      </w:r>
      <w:r>
        <w:rPr>
          <w:rFonts w:hint="eastAsia" w:ascii="仿宋_GB2312" w:hAnsi="仿宋_GB2312" w:eastAsia="仿宋_GB2312" w:cs="仿宋_GB2312"/>
          <w:color w:val="auto"/>
          <w:sz w:val="32"/>
          <w:szCs w:val="32"/>
          <w:highlight w:val="none"/>
        </w:rPr>
        <w:t>知识产权保护纠纷调解的知识产权纠纷调解组织</w:t>
      </w:r>
      <w:r>
        <w:rPr>
          <w:rFonts w:hint="eastAsia" w:ascii="仿宋_GB2312" w:hAnsi="仿宋_GB2312" w:eastAsia="仿宋_GB2312" w:cs="仿宋_GB2312"/>
          <w:color w:val="auto"/>
          <w:sz w:val="32"/>
          <w:szCs w:val="32"/>
          <w:highlight w:val="none"/>
          <w:lang w:eastAsia="zh-CN"/>
        </w:rPr>
        <w:t>，一次性</w:t>
      </w:r>
      <w:r>
        <w:rPr>
          <w:rFonts w:hint="eastAsia" w:ascii="仿宋_GB2312" w:hAnsi="仿宋_GB2312" w:eastAsia="仿宋_GB2312" w:cs="仿宋_GB2312"/>
          <w:color w:val="auto"/>
          <w:sz w:val="32"/>
          <w:szCs w:val="32"/>
          <w:highlight w:val="none"/>
        </w:rPr>
        <w:t>资助</w:t>
      </w:r>
      <w:r>
        <w:rPr>
          <w:rFonts w:hint="eastAsia" w:ascii="仿宋_GB2312" w:hAnsi="仿宋_GB2312" w:eastAsia="仿宋_GB2312" w:cs="仿宋_GB2312"/>
          <w:color w:val="auto"/>
          <w:sz w:val="32"/>
          <w:szCs w:val="32"/>
          <w:highlight w:val="none"/>
          <w:lang w:val="en-US" w:eastAsia="zh-CN"/>
        </w:rPr>
        <w:t>20万元。</w:t>
      </w: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15" w:name="_Toc85191174"/>
      <w:r>
        <w:rPr>
          <w:rFonts w:hint="eastAsia" w:ascii="仿宋_GB2312" w:hAnsi="仿宋_GB2312" w:eastAsia="仿宋_GB2312" w:cs="仿宋_GB2312"/>
          <w:color w:val="auto"/>
          <w:highlight w:val="none"/>
        </w:rPr>
        <w:t>第三节 知识产权管理类资助</w:t>
      </w:r>
      <w:bookmarkEnd w:id="15"/>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6" w:name="_Toc85191175"/>
      <w:r>
        <w:rPr>
          <w:rFonts w:hint="eastAsia" w:ascii="仿宋_GB2312" w:hAnsi="仿宋_GB2312" w:eastAsia="仿宋_GB2312" w:cs="仿宋_GB2312"/>
          <w:b/>
          <w:color w:val="auto"/>
          <w:sz w:val="32"/>
          <w:szCs w:val="32"/>
          <w:highlight w:val="none"/>
        </w:rPr>
        <w:t>第二十条 通过贯标认证资助</w:t>
      </w:r>
      <w:bookmarkEnd w:id="16"/>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（一）首次通过《企业知识产权管理规范》国家标准认证的企业，给予首个认证周期实际发生的认证费补贴，择优给予一次性资助不超过5万元。贯标辅导、咨询等费用不列入资助范围。</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（二）首次通过《高等学校知识产权管理规范》国家标准认证的高校，给予首个认证周期实际发生的认证费补贴，择优给予一次性资助不超过10万元。贯标辅导、咨询等费用不列入资助范围。</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（三）首次通过《科研组织知识产权管理规范》国家标准认证的科研院所，给予首个认证周期实际发生的认证费补贴，择优给予一次性资助不超过5万元。贯标辅导、咨询等费用不列入资助范围。</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7" w:name="_Toc85191176"/>
      <w:r>
        <w:rPr>
          <w:rFonts w:hint="eastAsia" w:ascii="仿宋_GB2312" w:hAnsi="仿宋_GB2312" w:eastAsia="仿宋_GB2312" w:cs="仿宋_GB2312"/>
          <w:b/>
          <w:color w:val="auto"/>
          <w:sz w:val="32"/>
          <w:szCs w:val="32"/>
          <w:highlight w:val="none"/>
        </w:rPr>
        <w:t>第二十一条 国家和省知识产权示范、优势企业资助</w:t>
      </w:r>
      <w:bookmarkEnd w:id="17"/>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对获评国家知识产权示范、国家知识产权优势企业的，分别给予50万元、30万元的一次性配套奖励；对获评广东省知识产权示范企业的，给予5万元一次性配套奖励。</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8" w:name="_Toc85191177"/>
      <w:r>
        <w:rPr>
          <w:rFonts w:hint="eastAsia" w:ascii="仿宋_GB2312" w:hAnsi="仿宋_GB2312" w:eastAsia="仿宋_GB2312" w:cs="仿宋_GB2312"/>
          <w:b/>
          <w:color w:val="auto"/>
          <w:sz w:val="32"/>
          <w:szCs w:val="32"/>
          <w:highlight w:val="none"/>
        </w:rPr>
        <w:t>第二十二条知识产权托管服务</w:t>
      </w:r>
      <w:bookmarkEnd w:id="18"/>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鼓励中小微企业委托知识产权服务机构开展知识产权托管，按实际发生托管费用的50%给予资助，单个企业每年最高资助1万元、最多资助3年，其中专精特新中小企业每年最高资助2万元、最多资助</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19" w:name="_Toc85191178"/>
      <w:r>
        <w:rPr>
          <w:rFonts w:hint="eastAsia" w:ascii="仿宋_GB2312" w:hAnsi="仿宋_GB2312" w:eastAsia="仿宋_GB2312" w:cs="仿宋_GB2312"/>
          <w:b/>
          <w:color w:val="auto"/>
          <w:sz w:val="32"/>
          <w:szCs w:val="32"/>
          <w:highlight w:val="none"/>
        </w:rPr>
        <w:t>第二十三条 国家知识产权试点、示范园区资助：</w:t>
      </w:r>
      <w:bookmarkEnd w:id="19"/>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对获得国家知识产权试点、示范园区认定的，分别给予20万元、30万元的一次性配套奖励。</w:t>
      </w:r>
      <w:r>
        <w:rPr>
          <w:rFonts w:hint="eastAsia" w:ascii="仿宋_GB2312" w:hAnsi="仿宋_GB2312" w:eastAsia="仿宋_GB2312" w:cs="仿宋_GB2312"/>
          <w:color w:val="auto"/>
          <w:sz w:val="32"/>
          <w:szCs w:val="32"/>
          <w:highlight w:val="none"/>
          <w:lang w:val="en-US" w:eastAsia="zh-CN"/>
        </w:rPr>
        <w:t xml:space="preserve"> 入选国家知识产权局</w:t>
      </w:r>
      <w:r>
        <w:rPr>
          <w:rFonts w:hint="eastAsia" w:ascii="仿宋_GB2312" w:hAnsi="仿宋_GB2312" w:eastAsia="仿宋_GB2312" w:cs="仿宋_GB2312"/>
          <w:i w:val="0"/>
          <w:caps w:val="0"/>
          <w:color w:val="auto"/>
          <w:spacing w:val="0"/>
          <w:sz w:val="32"/>
          <w:szCs w:val="32"/>
          <w:highlight w:val="none"/>
        </w:rPr>
        <w:t>国家地理标志产品保护示范区</w:t>
      </w:r>
      <w:r>
        <w:rPr>
          <w:rFonts w:hint="eastAsia" w:ascii="仿宋_GB2312" w:hAnsi="仿宋_GB2312" w:eastAsia="仿宋_GB2312" w:cs="仿宋_GB2312"/>
          <w:i w:val="0"/>
          <w:caps w:val="0"/>
          <w:color w:val="auto"/>
          <w:spacing w:val="0"/>
          <w:sz w:val="32"/>
          <w:szCs w:val="32"/>
          <w:highlight w:val="none"/>
          <w:lang w:eastAsia="zh-CN"/>
        </w:rPr>
        <w:t>筹建名单的，每个一次性资助</w:t>
      </w:r>
      <w:r>
        <w:rPr>
          <w:rFonts w:hint="eastAsia" w:ascii="仿宋_GB2312" w:hAnsi="仿宋_GB2312" w:eastAsia="仿宋_GB2312" w:cs="仿宋_GB2312"/>
          <w:i w:val="0"/>
          <w:caps w:val="0"/>
          <w:color w:val="auto"/>
          <w:spacing w:val="0"/>
          <w:sz w:val="32"/>
          <w:szCs w:val="32"/>
          <w:highlight w:val="none"/>
          <w:lang w:val="en-US" w:eastAsia="zh-CN"/>
        </w:rPr>
        <w:t>50万元。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0" w:name="_Toc85191179"/>
      <w:r>
        <w:rPr>
          <w:rFonts w:hint="eastAsia" w:ascii="仿宋_GB2312" w:hAnsi="仿宋_GB2312" w:eastAsia="仿宋_GB2312" w:cs="仿宋_GB2312"/>
          <w:b/>
          <w:color w:val="auto"/>
          <w:sz w:val="32"/>
          <w:szCs w:val="32"/>
          <w:highlight w:val="none"/>
        </w:rPr>
        <w:t>第二十四条 国家及省级知识产权试点、示范学校</w:t>
      </w:r>
      <w:bookmarkEnd w:id="20"/>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（一）对获评全国中小学知识产权教育试点、示范学校的，分别给予5万元、20万元的一次性配套奖励。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（二）对获评国家知识产权试点、示范高校的，分别给予20万元、30万元的一次性配套奖励。</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color w:val="auto"/>
          <w:sz w:val="32"/>
          <w:szCs w:val="32"/>
          <w:highlight w:val="none"/>
        </w:rPr>
      </w:pPr>
      <w:bookmarkStart w:id="21" w:name="_Toc85191180"/>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条 国家</w:t>
      </w:r>
      <w:r>
        <w:rPr>
          <w:rFonts w:hint="eastAsia" w:ascii="仿宋_GB2312" w:hAnsi="仿宋_GB2312" w:eastAsia="仿宋_GB2312" w:cs="仿宋_GB2312"/>
          <w:b/>
          <w:color w:val="auto"/>
          <w:sz w:val="32"/>
          <w:szCs w:val="32"/>
          <w:highlight w:val="none"/>
          <w:lang w:eastAsia="zh-CN"/>
        </w:rPr>
        <w:t>级知识产权保护规范化市场</w:t>
      </w:r>
      <w:r>
        <w:rPr>
          <w:rFonts w:hint="eastAsia" w:ascii="仿宋_GB2312" w:hAnsi="仿宋_GB2312" w:eastAsia="仿宋_GB2312" w:cs="仿宋_GB2312"/>
          <w:b/>
          <w:color w:val="auto"/>
          <w:sz w:val="32"/>
          <w:szCs w:val="32"/>
          <w:highlight w:val="none"/>
        </w:rPr>
        <w:t>资助：</w:t>
      </w:r>
    </w:p>
    <w:p>
      <w:pPr>
        <w:pStyle w:val="2"/>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eastAsia="仿宋_GB2312"/>
          <w:color w:val="auto"/>
          <w:highlight w:val="none"/>
          <w:lang w:eastAsia="zh-CN"/>
        </w:rPr>
      </w:pPr>
      <w:r>
        <w:rPr>
          <w:rFonts w:hint="eastAsia" w:ascii="仿宋_GB2312" w:hAnsi="仿宋_GB2312" w:eastAsia="仿宋_GB2312" w:cs="仿宋_GB2312"/>
          <w:b w:val="0"/>
          <w:bCs/>
          <w:color w:val="auto"/>
          <w:sz w:val="32"/>
          <w:szCs w:val="32"/>
          <w:highlight w:val="none"/>
          <w:lang w:eastAsia="zh-CN"/>
        </w:rPr>
        <w:t>对获得国家级知识产权保护规范化市场认定的，给予</w:t>
      </w:r>
      <w:r>
        <w:rPr>
          <w:rFonts w:hint="eastAsia" w:ascii="仿宋_GB2312" w:hAnsi="仿宋_GB2312" w:eastAsia="仿宋_GB2312" w:cs="仿宋_GB2312"/>
          <w:b w:val="0"/>
          <w:bCs/>
          <w:color w:val="auto"/>
          <w:sz w:val="32"/>
          <w:szCs w:val="32"/>
          <w:highlight w:val="none"/>
          <w:lang w:val="en-US" w:eastAsia="zh-CN"/>
        </w:rPr>
        <w:t>20万元的一次性配套奖励。</w:t>
      </w: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hint="eastAsia" w:ascii="仿宋_GB2312" w:hAnsi="仿宋_GB2312" w:eastAsia="仿宋_GB2312" w:cs="仿宋_GB2312"/>
          <w:color w:val="auto"/>
          <w:highlight w:val="none"/>
        </w:rPr>
      </w:pP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第四节 知识产权运用类资助</w:t>
      </w:r>
      <w:bookmarkEnd w:id="21"/>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2" w:name="_Toc85191181"/>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b/>
          <w:color w:val="auto"/>
          <w:sz w:val="32"/>
          <w:szCs w:val="32"/>
          <w:highlight w:val="none"/>
          <w:lang w:eastAsia="zh-CN"/>
        </w:rPr>
        <w:t>知识产权</w:t>
      </w:r>
      <w:r>
        <w:rPr>
          <w:rFonts w:hint="eastAsia" w:ascii="仿宋_GB2312" w:hAnsi="仿宋_GB2312" w:eastAsia="仿宋_GB2312" w:cs="仿宋_GB2312"/>
          <w:b/>
          <w:color w:val="auto"/>
          <w:sz w:val="32"/>
          <w:szCs w:val="32"/>
          <w:highlight w:val="none"/>
        </w:rPr>
        <w:t>信息运用</w:t>
      </w:r>
      <w:bookmarkEnd w:id="22"/>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企事业单位在产品上市、产品出口、技术出口或有出口需求、赴国外参加展会等情况下，委托知识产权服务机构开展的知识产权风险预警分析。对实施知识产权风险预警项目的单位，按实际支出费用的50%给予补贴，同一单位同一年度获得该项资助不超过50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3" w:name="_Toc85191182"/>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条 国家级重点产业运营中心建设</w:t>
      </w:r>
      <w:bookmarkEnd w:id="23"/>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推动产业与知识产权有机结合，打通知识产权“创造、运用、保护、管理、服务”的供给链，鼓励建设覆盖全市重点产业的知识产权运营中心，根据重点产业的特点提供精准服务。对成功申报国家级重点产业知识产权运营中心的单位，给予一次性</w:t>
      </w:r>
      <w:r>
        <w:rPr>
          <w:rFonts w:hint="eastAsia" w:ascii="仿宋_GB2312" w:hAnsi="仿宋_GB2312" w:eastAsia="仿宋_GB2312" w:cs="仿宋_GB2312"/>
          <w:color w:val="auto"/>
          <w:sz w:val="32"/>
          <w:szCs w:val="32"/>
          <w:highlight w:val="none"/>
          <w:lang w:val="en-US" w:eastAsia="zh-CN"/>
        </w:rPr>
        <w:t>资助100</w:t>
      </w:r>
      <w:r>
        <w:rPr>
          <w:rFonts w:hint="eastAsia" w:ascii="仿宋_GB2312" w:hAnsi="仿宋_GB2312" w:eastAsia="仿宋_GB2312" w:cs="仿宋_GB2312"/>
          <w:color w:val="auto"/>
          <w:sz w:val="32"/>
          <w:szCs w:val="32"/>
          <w:highlight w:val="none"/>
        </w:rPr>
        <w:t>万元；在国家重点产业运营中心建设阶段，</w:t>
      </w:r>
      <w:r>
        <w:rPr>
          <w:rFonts w:hint="eastAsia" w:ascii="仿宋_GB2312" w:hAnsi="仿宋_GB2312" w:eastAsia="仿宋_GB2312" w:cs="仿宋_GB2312"/>
          <w:color w:val="auto"/>
          <w:sz w:val="32"/>
          <w:szCs w:val="32"/>
          <w:highlight w:val="none"/>
          <w:lang w:eastAsia="zh-CN"/>
        </w:rPr>
        <w:t>佛山</w:t>
      </w:r>
      <w:r>
        <w:rPr>
          <w:rFonts w:hint="eastAsia" w:ascii="仿宋_GB2312" w:hAnsi="仿宋_GB2312" w:eastAsia="仿宋_GB2312" w:cs="仿宋_GB2312"/>
          <w:color w:val="auto"/>
          <w:sz w:val="32"/>
          <w:szCs w:val="32"/>
          <w:highlight w:val="none"/>
        </w:rPr>
        <w:t>市市场监督管理局每年组织专家对国家重点产业运营中心的建设成效进行评审，评审合格的给予每年不超过150万元的资助，为期三年。</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4" w:name="_Toc85191183"/>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八</w:t>
      </w:r>
      <w:r>
        <w:rPr>
          <w:rFonts w:hint="eastAsia" w:ascii="仿宋_GB2312" w:hAnsi="仿宋_GB2312" w:eastAsia="仿宋_GB2312" w:cs="仿宋_GB2312"/>
          <w:b/>
          <w:color w:val="auto"/>
          <w:sz w:val="32"/>
          <w:szCs w:val="32"/>
          <w:highlight w:val="none"/>
        </w:rPr>
        <w:t>条 专利技术交易资助</w:t>
      </w:r>
      <w:bookmarkEnd w:id="24"/>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支持专利转让和专利实施许可等非关联交易活动。</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支持企业以转让、实施许可等方式购买专利所有权或专利使用权，</w:t>
      </w:r>
      <w:r>
        <w:rPr>
          <w:rFonts w:ascii="仿宋_GB2312" w:hAnsi="仿宋_GB2312" w:eastAsia="仿宋_GB2312" w:cs="仿宋_GB2312"/>
          <w:color w:val="auto"/>
          <w:sz w:val="32"/>
          <w:szCs w:val="32"/>
          <w:highlight w:val="none"/>
        </w:rPr>
        <w:t>按照实际交易额的</w:t>
      </w:r>
      <w:r>
        <w:rPr>
          <w:rFonts w:hint="eastAsia" w:ascii="仿宋_GB2312" w:hAnsi="仿宋_GB2312" w:eastAsia="仿宋_GB2312" w:cs="仿宋_GB2312"/>
          <w:color w:val="auto"/>
          <w:sz w:val="32"/>
          <w:szCs w:val="32"/>
          <w:highlight w:val="none"/>
          <w:lang w:val="en-US" w:eastAsia="zh-CN"/>
        </w:rPr>
        <w:t>5</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lang w:eastAsia="zh-CN"/>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专利转让方或许可方属于佛山市行政区域内科研院所、国企的，按照实际交易额的</w:t>
      </w:r>
      <w:r>
        <w:rPr>
          <w:rFonts w:hint="eastAsia" w:ascii="仿宋_GB2312" w:hAnsi="仿宋_GB2312" w:eastAsia="仿宋_GB2312" w:cs="仿宋_GB2312"/>
          <w:color w:val="auto"/>
          <w:sz w:val="32"/>
          <w:szCs w:val="32"/>
          <w:highlight w:val="none"/>
          <w:lang w:val="en-US"/>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分别资助交易双方</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鼓励军民融合专利技术交易工作，属于民转军领域的专利转让或实施许可，按照实际交易额的10%给予专利转让方或许可方资助。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符合以上多种情形的，可叠加资助。</w:t>
      </w:r>
      <w:r>
        <w:rPr>
          <w:rFonts w:hint="eastAsia" w:ascii="仿宋_GB2312" w:hAnsi="仿宋_GB2312" w:eastAsia="仿宋_GB2312" w:cs="仿宋_GB2312"/>
          <w:color w:val="auto"/>
          <w:sz w:val="32"/>
          <w:szCs w:val="32"/>
          <w:highlight w:val="none"/>
        </w:rPr>
        <w:t>同一单位同一年度获得该项资助不超过100万元。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5" w:name="_Toc85191184"/>
      <w:r>
        <w:rPr>
          <w:rFonts w:hint="eastAsia" w:ascii="仿宋_GB2312" w:hAnsi="仿宋_GB2312" w:eastAsia="仿宋_GB2312" w:cs="仿宋_GB2312"/>
          <w:b/>
          <w:color w:val="auto"/>
          <w:sz w:val="32"/>
          <w:szCs w:val="32"/>
          <w:highlight w:val="none"/>
        </w:rPr>
        <w:t>第二十</w:t>
      </w:r>
      <w:r>
        <w:rPr>
          <w:rFonts w:hint="eastAsia" w:ascii="仿宋_GB2312" w:hAnsi="仿宋_GB2312" w:eastAsia="仿宋_GB2312" w:cs="仿宋_GB2312"/>
          <w:b/>
          <w:color w:val="auto"/>
          <w:sz w:val="32"/>
          <w:szCs w:val="32"/>
          <w:highlight w:val="none"/>
          <w:lang w:eastAsia="zh-CN"/>
        </w:rPr>
        <w:t>九</w:t>
      </w:r>
      <w:r>
        <w:rPr>
          <w:rFonts w:hint="eastAsia" w:ascii="仿宋_GB2312" w:hAnsi="仿宋_GB2312" w:eastAsia="仿宋_GB2312" w:cs="仿宋_GB2312"/>
          <w:b/>
          <w:color w:val="auto"/>
          <w:sz w:val="32"/>
          <w:szCs w:val="32"/>
          <w:highlight w:val="none"/>
        </w:rPr>
        <w:t>条 知识产权保险资助</w:t>
      </w:r>
      <w:bookmarkEnd w:id="25"/>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采取按比例补贴、总额限定的方式实行知识产权保险费率补贴，支持保险公司进一步增加知识产权保险险种。知识产权保险相关险种向我市知识产权主管部门备案的，对购买保险的单位，按实际支出保费的50%给予补贴，同一单位同一年度获得该项资助不超过30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6" w:name="_Toc85191185"/>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三十</w:t>
      </w:r>
      <w:r>
        <w:rPr>
          <w:rFonts w:hint="eastAsia" w:ascii="仿宋_GB2312" w:hAnsi="仿宋_GB2312" w:eastAsia="仿宋_GB2312" w:cs="仿宋_GB2312"/>
          <w:b/>
          <w:color w:val="auto"/>
          <w:sz w:val="32"/>
          <w:szCs w:val="32"/>
          <w:highlight w:val="none"/>
        </w:rPr>
        <w:t>条 知识产权质押融资</w:t>
      </w:r>
      <w:bookmarkEnd w:id="26"/>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对于成功申请知识产权质押融资的企业，获得1000万元及以下银行贷款的，按照实际发生评估费用的</w:t>
      </w:r>
      <w:r>
        <w:rPr>
          <w:rFonts w:hint="eastAsia" w:ascii="仿宋_GB2312" w:hAnsi="仿宋_GB2312" w:eastAsia="仿宋_GB2312" w:cs="仿宋_GB2312"/>
          <w:color w:val="auto"/>
          <w:sz w:val="32"/>
          <w:szCs w:val="32"/>
          <w:highlight w:val="none"/>
          <w:lang w:eastAsia="zh-CN"/>
        </w:rPr>
        <w:t>全额</w:t>
      </w:r>
      <w:r>
        <w:rPr>
          <w:rFonts w:hint="eastAsia" w:ascii="仿宋_GB2312" w:hAnsi="仿宋_GB2312" w:eastAsia="仿宋_GB2312" w:cs="仿宋_GB2312"/>
          <w:color w:val="auto"/>
          <w:sz w:val="32"/>
          <w:szCs w:val="32"/>
          <w:highlight w:val="none"/>
        </w:rPr>
        <w:t>给予资助</w:t>
      </w:r>
      <w:r>
        <w:rPr>
          <w:rFonts w:hint="eastAsia" w:ascii="仿宋_GB2312" w:hAnsi="仿宋_GB2312" w:eastAsia="仿宋_GB2312" w:cs="仿宋_GB2312"/>
          <w:color w:val="auto"/>
          <w:sz w:val="32"/>
          <w:szCs w:val="32"/>
          <w:highlight w:val="none"/>
          <w:lang w:eastAsia="zh-CN"/>
        </w:rPr>
        <w:t>，每个企业每年资助不超过</w:t>
      </w:r>
      <w:r>
        <w:rPr>
          <w:rFonts w:hint="eastAsia" w:ascii="仿宋_GB2312" w:hAnsi="仿宋_GB2312" w:eastAsia="仿宋_GB2312" w:cs="仿宋_GB2312"/>
          <w:color w:val="auto"/>
          <w:sz w:val="32"/>
          <w:szCs w:val="32"/>
          <w:highlight w:val="none"/>
          <w:lang w:val="en-US" w:eastAsia="zh-CN"/>
        </w:rPr>
        <w:t>10万元</w:t>
      </w:r>
      <w:r>
        <w:rPr>
          <w:rFonts w:hint="eastAsia" w:ascii="仿宋_GB2312" w:hAnsi="仿宋_GB2312" w:eastAsia="仿宋_GB2312" w:cs="仿宋_GB2312"/>
          <w:color w:val="auto"/>
          <w:sz w:val="32"/>
          <w:szCs w:val="32"/>
          <w:highlight w:val="none"/>
        </w:rPr>
        <w:t>；获得超过1000万元的银行贷款，根据超额累退方式，</w:t>
      </w:r>
      <w:r>
        <w:rPr>
          <w:rFonts w:hint="eastAsia" w:ascii="仿宋_GB2312" w:hAnsi="仿宋_GB2312" w:eastAsia="仿宋_GB2312" w:cs="仿宋_GB2312"/>
          <w:color w:val="auto"/>
          <w:sz w:val="32"/>
          <w:szCs w:val="32"/>
          <w:highlight w:val="none"/>
          <w:lang w:eastAsia="zh-CN"/>
        </w:rPr>
        <w:t>超额部分</w:t>
      </w:r>
      <w:r>
        <w:rPr>
          <w:rFonts w:hint="eastAsia" w:ascii="仿宋_GB2312" w:hAnsi="仿宋_GB2312" w:eastAsia="仿宋_GB2312" w:cs="仿宋_GB2312"/>
          <w:color w:val="auto"/>
          <w:sz w:val="32"/>
          <w:szCs w:val="32"/>
          <w:highlight w:val="none"/>
        </w:rPr>
        <w:t>按照实际发生评估费用的50%给予资助</w:t>
      </w:r>
      <w:r>
        <w:rPr>
          <w:rFonts w:hint="eastAsia" w:ascii="仿宋_GB2312" w:hAnsi="仿宋_GB2312" w:eastAsia="仿宋_GB2312" w:cs="仿宋_GB2312"/>
          <w:color w:val="auto"/>
          <w:sz w:val="32"/>
          <w:szCs w:val="32"/>
          <w:highlight w:val="none"/>
          <w:lang w:eastAsia="zh-CN"/>
        </w:rPr>
        <w:t>，每个企业每年资助不超过</w:t>
      </w:r>
      <w:r>
        <w:rPr>
          <w:rFonts w:hint="eastAsia" w:ascii="仿宋_GB2312" w:hAnsi="仿宋_GB2312" w:eastAsia="仿宋_GB2312" w:cs="仿宋_GB2312"/>
          <w:color w:val="auto"/>
          <w:sz w:val="32"/>
          <w:szCs w:val="32"/>
          <w:highlight w:val="none"/>
          <w:lang w:val="en-US" w:eastAsia="zh-CN"/>
        </w:rPr>
        <w:t>20万元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本项资金每年安排不超过</w:t>
      </w:r>
      <w:r>
        <w:rPr>
          <w:rFonts w:hint="eastAsia" w:ascii="仿宋_GB2312" w:hAnsi="仿宋_GB2312" w:eastAsia="仿宋_GB2312" w:cs="仿宋_GB2312"/>
          <w:color w:val="auto"/>
          <w:sz w:val="32"/>
          <w:szCs w:val="32"/>
          <w:highlight w:val="none"/>
          <w:lang w:val="en-US" w:eastAsia="zh-CN"/>
        </w:rPr>
        <w:t>1000万。</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7" w:name="_Toc85191186"/>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条 知识产权证券化资助：</w:t>
      </w:r>
      <w:bookmarkEnd w:id="27"/>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支持知识产权金融创新，对</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rPr>
        <w:t>发行</w:t>
      </w:r>
      <w:r>
        <w:rPr>
          <w:rFonts w:hint="eastAsia" w:ascii="仿宋_GB2312" w:hAnsi="仿宋_GB2312" w:eastAsia="仿宋_GB2312" w:cs="仿宋_GB2312"/>
          <w:color w:val="auto"/>
          <w:sz w:val="32"/>
          <w:szCs w:val="32"/>
          <w:highlight w:val="none"/>
          <w:lang w:val="en-US" w:eastAsia="zh-CN"/>
        </w:rPr>
        <w:t>符合以下条件的</w:t>
      </w:r>
      <w:r>
        <w:rPr>
          <w:rFonts w:hint="eastAsia" w:ascii="仿宋_GB2312" w:hAnsi="仿宋_GB2312" w:eastAsia="仿宋_GB2312" w:cs="仿宋_GB2312"/>
          <w:color w:val="auto"/>
          <w:sz w:val="32"/>
          <w:szCs w:val="32"/>
          <w:highlight w:val="none"/>
        </w:rPr>
        <w:t>知识产权证券化产品</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根据其实际发</w:t>
      </w:r>
      <w:r>
        <w:rPr>
          <w:rFonts w:hint="eastAsia" w:ascii="仿宋_GB2312" w:hAnsi="仿宋_GB2312" w:eastAsia="仿宋_GB2312" w:cs="仿宋_GB2312"/>
          <w:color w:val="auto"/>
          <w:sz w:val="32"/>
          <w:szCs w:val="32"/>
          <w:highlight w:val="none"/>
          <w:lang w:eastAsia="zh-CN"/>
        </w:rPr>
        <w:t>行</w:t>
      </w:r>
      <w:r>
        <w:rPr>
          <w:rFonts w:hint="eastAsia" w:ascii="仿宋_GB2312" w:hAnsi="仿宋_GB2312" w:eastAsia="仿宋_GB2312" w:cs="仿宋_GB2312"/>
          <w:color w:val="auto"/>
          <w:sz w:val="32"/>
          <w:szCs w:val="32"/>
          <w:highlight w:val="none"/>
        </w:rPr>
        <w:t>金额</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资助</w:t>
      </w:r>
      <w:r>
        <w:rPr>
          <w:rFonts w:hint="eastAsia" w:ascii="仿宋_GB2312" w:hAnsi="仿宋_GB2312" w:eastAsia="仿宋_GB2312" w:cs="仿宋_GB2312"/>
          <w:color w:val="auto"/>
          <w:sz w:val="32"/>
          <w:szCs w:val="32"/>
          <w:highlight w:val="none"/>
        </w:rPr>
        <w:t>发行主体。本项资金每年安排不超过</w:t>
      </w:r>
      <w:r>
        <w:rPr>
          <w:rFonts w:hint="eastAsia" w:ascii="仿宋_GB2312" w:hAnsi="仿宋_GB2312" w:eastAsia="仿宋_GB2312" w:cs="仿宋_GB2312"/>
          <w:color w:val="auto"/>
          <w:sz w:val="32"/>
          <w:szCs w:val="32"/>
          <w:highlight w:val="none"/>
          <w:lang w:val="en-US"/>
        </w:rPr>
        <w:t>15</w:t>
      </w:r>
      <w:r>
        <w:rPr>
          <w:rFonts w:hint="eastAsia" w:ascii="仿宋_GB2312" w:hAnsi="仿宋_GB2312" w:eastAsia="仿宋_GB2312" w:cs="仿宋_GB2312"/>
          <w:color w:val="auto"/>
          <w:sz w:val="32"/>
          <w:szCs w:val="32"/>
          <w:highlight w:val="none"/>
        </w:rPr>
        <w:t>00万</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产品的入池融资企业须是佛山市行政区域内</w:t>
      </w:r>
      <w:r>
        <w:rPr>
          <w:rFonts w:hint="eastAsia" w:ascii="仿宋_GB2312" w:hAnsi="仿宋_GB2312" w:eastAsia="仿宋_GB2312" w:cs="仿宋_GB2312"/>
          <w:color w:val="auto"/>
          <w:sz w:val="32"/>
          <w:szCs w:val="32"/>
          <w:highlight w:val="none"/>
          <w:lang w:eastAsia="zh-CN"/>
        </w:rPr>
        <w:t>登记注册</w:t>
      </w:r>
      <w:r>
        <w:rPr>
          <w:rFonts w:hint="eastAsia" w:ascii="仿宋_GB2312" w:hAnsi="仿宋_GB2312" w:eastAsia="仿宋_GB2312" w:cs="仿宋_GB2312"/>
          <w:color w:val="auto"/>
          <w:sz w:val="32"/>
          <w:szCs w:val="32"/>
          <w:highlight w:val="none"/>
        </w:rPr>
        <w:t>的企业</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企业融资利率原则上不超过</w:t>
      </w:r>
      <w:r>
        <w:rPr>
          <w:rFonts w:hint="eastAsia" w:ascii="仿宋_GB2312" w:hAnsi="仿宋_GB2312" w:eastAsia="仿宋_GB2312" w:cs="仿宋_GB2312"/>
          <w:color w:val="auto"/>
          <w:sz w:val="32"/>
          <w:szCs w:val="32"/>
          <w:highlight w:val="none"/>
          <w:lang w:eastAsia="zh-CN"/>
        </w:rPr>
        <w:t>同期的一年期</w:t>
      </w:r>
      <w:r>
        <w:rPr>
          <w:rFonts w:hint="eastAsia" w:ascii="仿宋_GB2312" w:hAnsi="仿宋_GB2312" w:eastAsia="仿宋_GB2312" w:cs="仿宋_GB2312"/>
          <w:color w:val="auto"/>
          <w:sz w:val="32"/>
          <w:szCs w:val="32"/>
          <w:highlight w:val="none"/>
        </w:rPr>
        <w:t>LPR利率+1</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bp</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（三）产品</w:t>
      </w:r>
      <w:r>
        <w:rPr>
          <w:rFonts w:hint="eastAsia" w:ascii="仿宋_GB2312" w:hAnsi="仿宋_GB2312" w:eastAsia="仿宋_GB2312" w:cs="仿宋_GB2312"/>
          <w:color w:val="auto"/>
          <w:sz w:val="32"/>
          <w:szCs w:val="32"/>
          <w:highlight w:val="none"/>
        </w:rPr>
        <w:t>具有创新</w:t>
      </w:r>
      <w:r>
        <w:rPr>
          <w:rFonts w:hint="eastAsia" w:ascii="仿宋_GB2312" w:hAnsi="仿宋_GB2312" w:eastAsia="仿宋_GB2312" w:cs="仿宋_GB2312"/>
          <w:color w:val="auto"/>
          <w:sz w:val="32"/>
          <w:szCs w:val="32"/>
          <w:highlight w:val="none"/>
          <w:lang w:eastAsia="zh-CN"/>
        </w:rPr>
        <w:t>性</w:t>
      </w:r>
      <w:r>
        <w:rPr>
          <w:rFonts w:hint="eastAsia" w:ascii="仿宋_GB2312" w:hAnsi="仿宋_GB2312" w:eastAsia="仿宋_GB2312" w:cs="仿宋_GB2312"/>
          <w:color w:val="auto"/>
          <w:sz w:val="32"/>
          <w:szCs w:val="32"/>
          <w:highlight w:val="none"/>
        </w:rPr>
        <w:t>和示范性</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28" w:name="_Toc85191187"/>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条 学校、园区及知识产权（专利）联盟资助</w:t>
      </w:r>
      <w:bookmarkEnd w:id="28"/>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鼓励组建包括行业协会、企业、高校、科研组织在内的产业知识产权（专利）联盟或专利池，在国家知识产权局通过审核备案在册的知识产权（专利）联盟或专利池，给予一次性资助10万元。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三十三</w:t>
      </w:r>
      <w:r>
        <w:rPr>
          <w:rFonts w:hint="eastAsia" w:ascii="仿宋_GB2312" w:hAnsi="仿宋_GB2312" w:eastAsia="仿宋_GB2312" w:cs="仿宋_GB2312"/>
          <w:b/>
          <w:color w:val="auto"/>
          <w:sz w:val="32"/>
          <w:szCs w:val="32"/>
          <w:highlight w:val="none"/>
        </w:rPr>
        <w:t>条 区域</w:t>
      </w:r>
      <w:r>
        <w:rPr>
          <w:rFonts w:hint="eastAsia" w:ascii="仿宋_GB2312" w:hAnsi="仿宋_GB2312" w:eastAsia="仿宋_GB2312" w:cs="仿宋_GB2312"/>
          <w:b/>
          <w:color w:val="auto"/>
          <w:sz w:val="32"/>
          <w:szCs w:val="32"/>
          <w:highlight w:val="none"/>
          <w:lang w:eastAsia="zh-CN"/>
        </w:rPr>
        <w:t>商标运用</w:t>
      </w:r>
      <w:r>
        <w:rPr>
          <w:rFonts w:hint="eastAsia" w:ascii="仿宋_GB2312" w:hAnsi="仿宋_GB2312" w:eastAsia="仿宋_GB2312" w:cs="仿宋_GB2312"/>
          <w:b/>
          <w:color w:val="auto"/>
          <w:sz w:val="32"/>
          <w:szCs w:val="32"/>
          <w:highlight w:val="none"/>
        </w:rPr>
        <w:t>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s="仿宋_GB2312"/>
          <w:color w:val="auto"/>
          <w:sz w:val="32"/>
          <w:szCs w:val="32"/>
          <w:highlight w:val="none"/>
        </w:rPr>
        <w:t>鼓励</w:t>
      </w:r>
      <w:r>
        <w:rPr>
          <w:rFonts w:hint="eastAsia" w:ascii="仿宋_GB2312" w:hAnsi="仿宋_GB2312" w:eastAsia="仿宋_GB2312" w:cs="仿宋_GB2312"/>
          <w:color w:val="auto"/>
          <w:sz w:val="32"/>
          <w:szCs w:val="32"/>
          <w:highlight w:val="none"/>
          <w:lang w:eastAsia="zh-CN"/>
        </w:rPr>
        <w:t>我市优势产业通过注册和运用</w:t>
      </w:r>
      <w:r>
        <w:rPr>
          <w:rFonts w:hint="eastAsia" w:ascii="仿宋_GB2312" w:hAnsi="仿宋_GB2312" w:eastAsia="仿宋_GB2312" w:cs="仿宋_GB2312"/>
          <w:color w:val="auto"/>
          <w:sz w:val="32"/>
          <w:szCs w:val="32"/>
          <w:highlight w:val="none"/>
        </w:rPr>
        <w:t>集体商标</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证明商标打造区域品牌，对成效显著</w:t>
      </w:r>
      <w:r>
        <w:rPr>
          <w:rFonts w:hint="eastAsia" w:ascii="仿宋_GB2312" w:hAnsi="仿宋_GB2312" w:eastAsia="仿宋_GB2312" w:cs="仿宋_GB2312"/>
          <w:color w:val="auto"/>
          <w:sz w:val="32"/>
          <w:szCs w:val="32"/>
          <w:highlight w:val="none"/>
          <w:lang w:eastAsia="zh-CN"/>
        </w:rPr>
        <w:t>并通过评审的商标</w:t>
      </w:r>
      <w:r>
        <w:rPr>
          <w:rFonts w:hint="eastAsia" w:ascii="仿宋_GB2312" w:hAnsi="仿宋_GB2312" w:eastAsia="仿宋_GB2312" w:cs="仿宋_GB2312"/>
          <w:color w:val="auto"/>
          <w:sz w:val="32"/>
          <w:szCs w:val="32"/>
          <w:highlight w:val="none"/>
        </w:rPr>
        <w:t>注册人，给予资助20万元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同一单位三年</w:t>
      </w:r>
      <w:r>
        <w:rPr>
          <w:rFonts w:hint="eastAsia" w:ascii="仿宋_GB2312" w:hAnsi="仿宋_GB2312" w:eastAsia="仿宋_GB2312" w:cs="仿宋_GB2312"/>
          <w:color w:val="auto"/>
          <w:sz w:val="32"/>
          <w:szCs w:val="32"/>
          <w:highlight w:val="none"/>
        </w:rPr>
        <w:t>内不重复资助。</w:t>
      </w:r>
      <w:r>
        <w:rPr>
          <w:rFonts w:hint="eastAsia" w:ascii="仿宋_GB2312" w:hAnsi="仿宋_GB2312" w:eastAsia="仿宋_GB2312"/>
          <w:color w:val="auto"/>
          <w:sz w:val="32"/>
          <w:highlight w:val="none"/>
        </w:rPr>
        <w:t>申请区</w:t>
      </w:r>
      <w:r>
        <w:rPr>
          <w:rFonts w:hint="eastAsia" w:ascii="仿宋_GB2312" w:hAnsi="仿宋_GB2312" w:eastAsia="仿宋_GB2312" w:cs="仿宋_GB2312"/>
          <w:color w:val="auto"/>
          <w:sz w:val="32"/>
          <w:szCs w:val="32"/>
          <w:highlight w:val="none"/>
        </w:rPr>
        <w:t>域</w:t>
      </w:r>
      <w:r>
        <w:rPr>
          <w:rFonts w:hint="eastAsia" w:ascii="仿宋_GB2312" w:hAnsi="仿宋_GB2312" w:eastAsia="仿宋_GB2312" w:cs="仿宋_GB2312"/>
          <w:color w:val="auto"/>
          <w:sz w:val="32"/>
          <w:szCs w:val="32"/>
          <w:highlight w:val="none"/>
          <w:lang w:eastAsia="zh-CN"/>
        </w:rPr>
        <w:t>商标运用</w:t>
      </w:r>
      <w:r>
        <w:rPr>
          <w:rFonts w:hint="eastAsia" w:ascii="仿宋_GB2312" w:hAnsi="仿宋_GB2312" w:eastAsia="仿宋_GB2312"/>
          <w:color w:val="auto"/>
          <w:sz w:val="32"/>
          <w:highlight w:val="none"/>
        </w:rPr>
        <w:t>资助，应符合以下条件：</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（一）成功注册集体商标或证明商标</w:t>
      </w:r>
      <w:r>
        <w:rPr>
          <w:rFonts w:hint="eastAsia" w:ascii="仿宋_GB2312" w:hAnsi="仿宋_GB2312" w:eastAsia="仿宋_GB2312"/>
          <w:color w:val="auto"/>
          <w:sz w:val="32"/>
          <w:highlight w:val="none"/>
          <w:lang w:eastAsia="zh-CN"/>
        </w:rPr>
        <w:t>后</w:t>
      </w:r>
      <w:r>
        <w:rPr>
          <w:rFonts w:hint="eastAsia" w:ascii="仿宋_GB2312" w:hAnsi="仿宋_GB2312" w:eastAsia="仿宋_GB2312"/>
          <w:color w:val="auto"/>
          <w:sz w:val="32"/>
          <w:highlight w:val="none"/>
        </w:rPr>
        <w:t>，使用</w:t>
      </w:r>
      <w:r>
        <w:rPr>
          <w:rFonts w:hint="eastAsia" w:ascii="仿宋_GB2312" w:hAnsi="仿宋_GB2312" w:eastAsia="仿宋_GB2312"/>
          <w:color w:val="auto"/>
          <w:sz w:val="32"/>
          <w:highlight w:val="none"/>
          <w:lang w:eastAsia="zh-CN"/>
        </w:rPr>
        <w:t>该</w:t>
      </w:r>
      <w:r>
        <w:rPr>
          <w:rFonts w:hint="eastAsia" w:ascii="仿宋_GB2312" w:hAnsi="仿宋_GB2312" w:eastAsia="仿宋_GB2312"/>
          <w:color w:val="auto"/>
          <w:sz w:val="32"/>
          <w:highlight w:val="none"/>
        </w:rPr>
        <w:t>商标满一年以上。</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（二）组织机构完善，设立</w:t>
      </w:r>
      <w:r>
        <w:rPr>
          <w:rFonts w:hint="eastAsia" w:ascii="仿宋_GB2312" w:eastAsia="仿宋_GB2312"/>
          <w:color w:val="auto"/>
          <w:sz w:val="32"/>
          <w:szCs w:val="32"/>
          <w:highlight w:val="none"/>
        </w:rPr>
        <w:t>商标</w:t>
      </w:r>
      <w:r>
        <w:rPr>
          <w:rFonts w:hint="eastAsia" w:ascii="仿宋_GB2312" w:eastAsia="仿宋_GB2312"/>
          <w:color w:val="auto"/>
          <w:sz w:val="32"/>
          <w:szCs w:val="32"/>
          <w:highlight w:val="none"/>
          <w:lang w:eastAsia="zh-CN"/>
        </w:rPr>
        <w:t>品牌</w:t>
      </w:r>
      <w:r>
        <w:rPr>
          <w:rFonts w:hint="eastAsia" w:ascii="仿宋_GB2312" w:eastAsia="仿宋_GB2312"/>
          <w:color w:val="auto"/>
          <w:sz w:val="32"/>
          <w:szCs w:val="32"/>
          <w:highlight w:val="none"/>
        </w:rPr>
        <w:t>管理监督机构。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（三）规章制度完善，配套完善《集体（证明）商标使用管理实施细则》《商标使用许可办法》《商标标识使用及宣传管理办法》等管理规范。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（四）制定商标</w:t>
      </w:r>
      <w:r>
        <w:rPr>
          <w:rFonts w:hint="eastAsia" w:ascii="仿宋_GB2312" w:hAnsi="仿宋_GB2312" w:eastAsia="仿宋_GB2312"/>
          <w:color w:val="auto"/>
          <w:sz w:val="32"/>
          <w:highlight w:val="none"/>
          <w:lang w:eastAsia="zh-CN"/>
        </w:rPr>
        <w:t>品牌</w:t>
      </w:r>
      <w:r>
        <w:rPr>
          <w:rFonts w:hint="eastAsia" w:ascii="仿宋_GB2312" w:hAnsi="仿宋_GB2312" w:eastAsia="仿宋_GB2312"/>
          <w:color w:val="auto"/>
          <w:sz w:val="32"/>
          <w:highlight w:val="none"/>
        </w:rPr>
        <w:t>管理标准</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落实准入标准、使用标准、监督机制、退出机制、投诉机制、激励制度等机制；积极组织会员单位参与商标</w:t>
      </w:r>
      <w:r>
        <w:rPr>
          <w:rFonts w:hint="eastAsia" w:ascii="仿宋_GB2312" w:hAnsi="仿宋_GB2312" w:eastAsia="仿宋_GB2312"/>
          <w:color w:val="auto"/>
          <w:sz w:val="32"/>
          <w:highlight w:val="none"/>
          <w:lang w:eastAsia="zh-CN"/>
        </w:rPr>
        <w:t>品牌</w:t>
      </w:r>
      <w:r>
        <w:rPr>
          <w:rFonts w:hint="eastAsia" w:ascii="仿宋_GB2312" w:hAnsi="仿宋_GB2312" w:eastAsia="仿宋_GB2312"/>
          <w:color w:val="auto"/>
          <w:sz w:val="32"/>
          <w:highlight w:val="none"/>
        </w:rPr>
        <w:t>管理、使用和保护相关培训。</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olor w:val="auto"/>
          <w:sz w:val="32"/>
          <w:highlight w:val="none"/>
        </w:rPr>
      </w:pPr>
      <w:r>
        <w:rPr>
          <w:rFonts w:hint="eastAsia" w:ascii="仿宋_GB2312" w:hAnsi="仿宋_GB2312" w:eastAsia="仿宋_GB2312"/>
          <w:color w:val="auto"/>
          <w:sz w:val="32"/>
          <w:highlight w:val="none"/>
        </w:rPr>
        <w:t>（五）建立</w:t>
      </w:r>
      <w:r>
        <w:rPr>
          <w:rFonts w:hint="eastAsia" w:ascii="仿宋_GB2312" w:hAnsi="仿宋_GB2312" w:eastAsia="仿宋_GB2312"/>
          <w:color w:val="auto"/>
          <w:sz w:val="32"/>
          <w:highlight w:val="none"/>
          <w:lang w:eastAsia="zh-CN"/>
        </w:rPr>
        <w:t>区域商标</w:t>
      </w:r>
      <w:r>
        <w:rPr>
          <w:rFonts w:hint="eastAsia" w:ascii="仿宋_GB2312" w:hAnsi="仿宋_GB2312" w:eastAsia="仿宋_GB2312"/>
          <w:color w:val="auto"/>
          <w:sz w:val="32"/>
          <w:highlight w:val="none"/>
        </w:rPr>
        <w:t>推广机制，开展形式多样的</w:t>
      </w:r>
      <w:r>
        <w:rPr>
          <w:rFonts w:hint="eastAsia" w:ascii="仿宋_GB2312" w:hAnsi="仿宋_GB2312" w:eastAsia="仿宋_GB2312"/>
          <w:color w:val="auto"/>
          <w:sz w:val="32"/>
          <w:highlight w:val="none"/>
          <w:lang w:eastAsia="zh-CN"/>
        </w:rPr>
        <w:t>商标品牌</w:t>
      </w:r>
      <w:r>
        <w:rPr>
          <w:rFonts w:hint="eastAsia" w:ascii="仿宋_GB2312" w:hAnsi="仿宋_GB2312" w:eastAsia="仿宋_GB2312"/>
          <w:color w:val="auto"/>
          <w:sz w:val="32"/>
          <w:highlight w:val="none"/>
        </w:rPr>
        <w:t>宣传推广工作，鼓励和带动会员在产品和服务上使用</w:t>
      </w:r>
      <w:r>
        <w:rPr>
          <w:rFonts w:hint="eastAsia" w:ascii="仿宋_GB2312" w:hAnsi="仿宋_GB2312" w:eastAsia="仿宋_GB2312"/>
          <w:color w:val="auto"/>
          <w:sz w:val="32"/>
          <w:highlight w:val="none"/>
          <w:lang w:eastAsia="zh-CN"/>
        </w:rPr>
        <w:t>集体（证明）</w:t>
      </w:r>
      <w:r>
        <w:rPr>
          <w:rFonts w:hint="eastAsia" w:ascii="仿宋_GB2312" w:hAnsi="仿宋_GB2312" w:eastAsia="仿宋_GB2312"/>
          <w:color w:val="auto"/>
          <w:sz w:val="32"/>
          <w:highlight w:val="none"/>
        </w:rPr>
        <w:t>商标。积极参与政府部门开展的知识产权、质量、技术、标准、品牌和诚信等建设工作。</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rPr>
        <w:t>（六）制定商标</w:t>
      </w:r>
      <w:r>
        <w:rPr>
          <w:rFonts w:hint="eastAsia" w:ascii="仿宋_GB2312" w:hAnsi="仿宋_GB2312" w:eastAsia="仿宋_GB2312"/>
          <w:color w:val="auto"/>
          <w:sz w:val="32"/>
          <w:highlight w:val="none"/>
          <w:lang w:eastAsia="zh-CN"/>
        </w:rPr>
        <w:t>品牌</w:t>
      </w:r>
      <w:r>
        <w:rPr>
          <w:rFonts w:hint="eastAsia" w:ascii="仿宋_GB2312" w:hAnsi="仿宋_GB2312" w:eastAsia="仿宋_GB2312"/>
          <w:color w:val="auto"/>
          <w:sz w:val="32"/>
          <w:highlight w:val="none"/>
        </w:rPr>
        <w:t>保护措施，建立商标信誉风险控制预案机制，提高商标</w:t>
      </w:r>
      <w:r>
        <w:rPr>
          <w:rFonts w:hint="eastAsia" w:ascii="仿宋_GB2312" w:hAnsi="仿宋_GB2312" w:eastAsia="仿宋_GB2312"/>
          <w:color w:val="auto"/>
          <w:sz w:val="32"/>
          <w:highlight w:val="none"/>
          <w:lang w:eastAsia="zh-CN"/>
        </w:rPr>
        <w:t>品牌</w:t>
      </w:r>
      <w:r>
        <w:rPr>
          <w:rFonts w:hint="eastAsia" w:ascii="仿宋_GB2312" w:hAnsi="仿宋_GB2312" w:eastAsia="仿宋_GB2312"/>
          <w:color w:val="auto"/>
          <w:sz w:val="32"/>
          <w:highlight w:val="none"/>
        </w:rPr>
        <w:t>保护水平。</w:t>
      </w: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29" w:name="_Toc85191188"/>
      <w:r>
        <w:rPr>
          <w:rFonts w:hint="eastAsia" w:ascii="仿宋_GB2312" w:hAnsi="仿宋_GB2312" w:eastAsia="仿宋_GB2312" w:cs="仿宋_GB2312"/>
          <w:color w:val="auto"/>
          <w:highlight w:val="none"/>
        </w:rPr>
        <w:t>第五节 知识产权服务类资助</w:t>
      </w:r>
      <w:bookmarkEnd w:id="29"/>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0" w:name="_Toc85191189"/>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条 知识产权服务机构</w:t>
      </w:r>
      <w:bookmarkEnd w:id="30"/>
      <w:r>
        <w:rPr>
          <w:rFonts w:hint="eastAsia" w:ascii="仿宋_GB2312" w:hAnsi="仿宋_GB2312" w:eastAsia="仿宋_GB2312" w:cs="仿宋_GB2312"/>
          <w:b/>
          <w:color w:val="auto"/>
          <w:sz w:val="32"/>
          <w:szCs w:val="32"/>
          <w:highlight w:val="none"/>
        </w:rPr>
        <w:t>落户资助：</w:t>
      </w:r>
    </w:p>
    <w:p>
      <w:pPr>
        <w:pageBreakBefore w:val="0"/>
        <w:widowControl w:val="0"/>
        <w:numPr>
          <w:ilvl w:val="-1"/>
          <w:numId w:val="0"/>
        </w:numPr>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（一）在佛山行政区域内</w:t>
      </w:r>
      <w:r>
        <w:rPr>
          <w:rFonts w:hint="eastAsia" w:ascii="仿宋_GB2312" w:hAnsi="仿宋_GB2312" w:eastAsia="仿宋_GB2312" w:cs="仿宋_GB2312"/>
          <w:color w:val="auto"/>
          <w:sz w:val="32"/>
          <w:szCs w:val="32"/>
          <w:highlight w:val="none"/>
        </w:rPr>
        <w:t>新</w:t>
      </w:r>
      <w:r>
        <w:rPr>
          <w:rFonts w:hint="eastAsia" w:ascii="仿宋_GB2312" w:hAnsi="仿宋_GB2312" w:eastAsia="仿宋_GB2312" w:cs="仿宋_GB2312"/>
          <w:color w:val="auto"/>
          <w:sz w:val="32"/>
          <w:szCs w:val="32"/>
          <w:highlight w:val="none"/>
          <w:lang w:eastAsia="zh-CN"/>
        </w:rPr>
        <w:t>登记注册的</w:t>
      </w:r>
      <w:r>
        <w:rPr>
          <w:rFonts w:hint="eastAsia" w:ascii="仿宋_GB2312" w:hAnsi="仿宋_GB2312" w:eastAsia="仿宋_GB2312" w:cs="仿宋_GB2312"/>
          <w:color w:val="auto"/>
          <w:sz w:val="32"/>
          <w:szCs w:val="32"/>
          <w:highlight w:val="none"/>
        </w:rPr>
        <w:t>专利代理机构</w:t>
      </w:r>
      <w:r>
        <w:rPr>
          <w:rFonts w:hint="eastAsia" w:ascii="仿宋_GB2312" w:hAnsi="仿宋_GB2312" w:eastAsia="仿宋_GB2312" w:cs="仿宋_GB2312"/>
          <w:color w:val="auto"/>
          <w:sz w:val="32"/>
          <w:szCs w:val="32"/>
          <w:highlight w:val="none"/>
          <w:lang w:eastAsia="zh-CN"/>
        </w:rPr>
        <w:t>（不含分支机构）</w:t>
      </w:r>
      <w:r>
        <w:rPr>
          <w:rFonts w:hint="eastAsia" w:ascii="仿宋_GB2312" w:hAnsi="仿宋_GB2312" w:eastAsia="仿宋_GB2312" w:cs="仿宋_GB2312"/>
          <w:color w:val="auto"/>
          <w:sz w:val="32"/>
          <w:szCs w:val="32"/>
          <w:highlight w:val="none"/>
        </w:rPr>
        <w:t>，经营满2年，且服务区域内企业50家以上的，给予一次性资助10万元。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（二）鼓励国内外高端知识产权服务机构落户佛山，优化提升知识产权服务业质量和水平。对国内外知识产权服务品牌机构在佛山市行政区域内</w:t>
      </w:r>
      <w:r>
        <w:rPr>
          <w:rFonts w:hint="eastAsia" w:ascii="仿宋_GB2312" w:hAnsi="仿宋_GB2312" w:eastAsia="仿宋_GB2312" w:cs="仿宋_GB2312"/>
          <w:color w:val="auto"/>
          <w:sz w:val="32"/>
          <w:szCs w:val="32"/>
          <w:highlight w:val="none"/>
          <w:lang w:eastAsia="zh-CN"/>
        </w:rPr>
        <w:t>登记注册</w:t>
      </w:r>
      <w:r>
        <w:rPr>
          <w:rFonts w:hint="eastAsia" w:ascii="仿宋_GB2312" w:hAnsi="仿宋_GB2312" w:eastAsia="仿宋_GB2312" w:cs="仿宋_GB2312"/>
          <w:color w:val="auto"/>
          <w:sz w:val="32"/>
          <w:szCs w:val="32"/>
          <w:highlight w:val="none"/>
        </w:rPr>
        <w:t>的分支机构</w:t>
      </w:r>
      <w:r>
        <w:rPr>
          <w:rFonts w:hint="eastAsia" w:ascii="仿宋_GB2312" w:hAnsi="仿宋_GB2312" w:eastAsia="仿宋_GB2312" w:cs="仿宋_GB2312"/>
          <w:color w:val="auto"/>
          <w:sz w:val="32"/>
          <w:szCs w:val="32"/>
          <w:highlight w:val="none"/>
          <w:lang w:eastAsia="zh-CN"/>
        </w:rPr>
        <w:t>或办事处</w:t>
      </w:r>
      <w:r>
        <w:rPr>
          <w:rFonts w:hint="eastAsia" w:ascii="仿宋_GB2312" w:hAnsi="仿宋_GB2312" w:eastAsia="仿宋_GB2312" w:cs="仿宋_GB2312"/>
          <w:color w:val="auto"/>
          <w:sz w:val="32"/>
          <w:szCs w:val="32"/>
          <w:highlight w:val="none"/>
        </w:rPr>
        <w:t>，经营满2年，且服务区域内企业50家以上的，给予一次性资助10万元。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 xml:space="preserve"> </w:t>
      </w:r>
      <w:bookmarkStart w:id="31" w:name="_Toc85191190"/>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条 优秀代理</w:t>
      </w:r>
      <w:bookmarkEnd w:id="31"/>
      <w:r>
        <w:rPr>
          <w:rFonts w:hint="eastAsia" w:ascii="仿宋_GB2312" w:hAnsi="仿宋_GB2312" w:eastAsia="仿宋_GB2312" w:cs="仿宋_GB2312"/>
          <w:b/>
          <w:color w:val="auto"/>
          <w:sz w:val="32"/>
          <w:szCs w:val="32"/>
          <w:highlight w:val="none"/>
        </w:rPr>
        <w:t>项目资助：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（一）对佛山市行政区域内</w:t>
      </w:r>
      <w:r>
        <w:rPr>
          <w:rFonts w:hint="eastAsia" w:ascii="仿宋_GB2312" w:hAnsi="仿宋_GB2312" w:eastAsia="仿宋_GB2312" w:cs="仿宋_GB2312"/>
          <w:color w:val="auto"/>
          <w:sz w:val="32"/>
          <w:szCs w:val="32"/>
          <w:highlight w:val="none"/>
          <w:lang w:eastAsia="zh-CN"/>
        </w:rPr>
        <w:t>登记注册</w:t>
      </w:r>
      <w:r>
        <w:rPr>
          <w:rFonts w:hint="eastAsia" w:ascii="仿宋_GB2312" w:hAnsi="仿宋_GB2312" w:eastAsia="仿宋_GB2312" w:cs="仿宋_GB2312"/>
          <w:color w:val="auto"/>
          <w:sz w:val="32"/>
          <w:szCs w:val="32"/>
          <w:highlight w:val="none"/>
        </w:rPr>
        <w:t>的专利代理机构或外地专利代理机构在本市设立的分支机构代理本市申请人撰写的专利获得国家、广东省专利奖的给予奖励，对获得国家金奖、银奖和优秀奖的分别给予10000元/件、5000元/件、3000元/件的奖励，对获得广东省金奖、银奖和优秀奖的分别给予5000元/件、3000元/件、1000元/件的奖励。同一机构同一年度获得该项奖励不超过5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（二）对佛山市行政区域内注册的商标代理机构或外地商标代理机构在本市设立的分支机构代理本市申请人注册的商标获得中国商标金奖的，给予1</w:t>
      </w:r>
      <w:r>
        <w:rPr>
          <w:rFonts w:hint="eastAsia" w:ascii="仿宋_GB2312" w:hAnsi="仿宋_GB2312" w:eastAsia="仿宋_GB2312" w:cs="仿宋_GB2312"/>
          <w:color w:val="auto"/>
          <w:sz w:val="32"/>
          <w:szCs w:val="32"/>
          <w:highlight w:val="none"/>
          <w:lang w:val="en-US"/>
        </w:rPr>
        <w:t>万</w:t>
      </w:r>
      <w:r>
        <w:rPr>
          <w:rFonts w:hint="eastAsia" w:ascii="仿宋_GB2312" w:hAnsi="仿宋_GB2312" w:eastAsia="仿宋_GB2312" w:cs="仿宋_GB2312"/>
          <w:color w:val="auto"/>
          <w:sz w:val="32"/>
          <w:szCs w:val="32"/>
          <w:highlight w:val="none"/>
        </w:rPr>
        <w:t>元/件的奖励。同一机构同一年度获得该项奖励不超过5万元。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2" w:name="_Toc85191191"/>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条 知识产权服务机构评级奖励</w:t>
      </w:r>
      <w:bookmarkEnd w:id="32"/>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（一）对获评全国知识产权服务品牌机构的给予奖励，设在佛山市行政区域内的总部机构一次性资助20万元，分支机构一次性资助10万元。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（二）对获评全国知识产权服务品牌培育机构的给予奖励，设在佛山市行政区域内的总部机构一次性资助10万元，分支机构一次性资助5万元。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（三）对获评中华商标协会优秀商标代理机构给予奖励，设在佛山市行政区域内的总部机构一次性资助20万元，分支机构一次性资助10万元。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（四）根据《专利代理机构分级评定准则》（</w:t>
      </w:r>
      <w:r>
        <w:rPr>
          <w:rFonts w:hint="eastAsia" w:ascii="仿宋_GB2312" w:hAnsi="仿宋_GB2312" w:eastAsia="仿宋_GB2312" w:cs="仿宋_GB2312"/>
          <w:color w:val="auto"/>
          <w:sz w:val="32"/>
          <w:szCs w:val="32"/>
          <w:highlight w:val="none"/>
          <w:lang w:eastAsia="zh-CN"/>
        </w:rPr>
        <w:t>佛山制定</w:t>
      </w:r>
      <w:r>
        <w:rPr>
          <w:rFonts w:hint="eastAsia" w:ascii="仿宋_GB2312" w:hAnsi="仿宋_GB2312" w:eastAsia="仿宋_GB2312" w:cs="仿宋_GB2312"/>
          <w:color w:val="auto"/>
          <w:sz w:val="32"/>
          <w:szCs w:val="32"/>
          <w:highlight w:val="none"/>
        </w:rPr>
        <w:t>）及《商标代理机构分级评定准则》</w:t>
      </w:r>
      <w:r>
        <w:rPr>
          <w:rFonts w:hint="eastAsia" w:ascii="仿宋_GB2312" w:hAnsi="仿宋_GB2312" w:eastAsia="仿宋_GB2312" w:cs="仿宋_GB2312"/>
          <w:color w:val="auto"/>
          <w:sz w:val="32"/>
          <w:szCs w:val="32"/>
          <w:highlight w:val="none"/>
          <w:lang w:eastAsia="zh-CN"/>
        </w:rPr>
        <w:t>（佛山制定）</w:t>
      </w:r>
      <w:r>
        <w:rPr>
          <w:rFonts w:hint="eastAsia" w:ascii="仿宋_GB2312" w:hAnsi="仿宋_GB2312" w:eastAsia="仿宋_GB2312" w:cs="仿宋_GB2312"/>
          <w:color w:val="auto"/>
          <w:sz w:val="32"/>
          <w:szCs w:val="32"/>
          <w:highlight w:val="none"/>
        </w:rPr>
        <w:t>标准，被评为5A的专利代理机构或商标代理机构，分别一次性</w:t>
      </w:r>
      <w:r>
        <w:rPr>
          <w:rFonts w:hint="eastAsia" w:ascii="仿宋_GB2312" w:hAnsi="仿宋_GB2312" w:eastAsia="仿宋_GB2312" w:cs="仿宋_GB2312"/>
          <w:color w:val="auto"/>
          <w:sz w:val="32"/>
          <w:szCs w:val="32"/>
          <w:highlight w:val="none"/>
          <w:lang w:eastAsia="zh-CN"/>
        </w:rPr>
        <w:t>资助</w:t>
      </w:r>
      <w:r>
        <w:rPr>
          <w:rFonts w:hint="eastAsia" w:ascii="仿宋_GB2312" w:hAnsi="仿宋_GB2312" w:eastAsia="仿宋_GB2312" w:cs="仿宋_GB2312"/>
          <w:color w:val="auto"/>
          <w:sz w:val="32"/>
          <w:szCs w:val="32"/>
          <w:highlight w:val="none"/>
        </w:rPr>
        <w:t>15万</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3" w:name="_Toc85191194"/>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条 知识产权公共服务网点：</w:t>
      </w:r>
    </w:p>
    <w:p>
      <w:pPr>
        <w:pStyle w:val="2"/>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对通过国家知识产权局备案成为国家知识产权信息公共服务网点的，一次性资助2</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w:t>
      </w:r>
    </w:p>
    <w:p>
      <w:pPr>
        <w:pStyle w:val="2"/>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p>
    <w:bookmarkEnd w:id="33"/>
    <w:p>
      <w:pPr>
        <w:pStyle w:val="2"/>
        <w:pageBreakBefore w:val="0"/>
        <w:widowControl w:val="0"/>
        <w:kinsoku/>
        <w:wordWrap/>
        <w:overflowPunct/>
        <w:topLinePunct w:val="0"/>
        <w:autoSpaceDE/>
        <w:bidi w:val="0"/>
        <w:adjustRightInd/>
        <w:snapToGrid/>
        <w:spacing w:line="560" w:lineRule="exact"/>
        <w:ind w:left="0" w:leftChars="0" w:right="0" w:rightChars="0"/>
        <w:textAlignment w:val="auto"/>
        <w:rPr>
          <w:color w:val="auto"/>
          <w:highlight w:val="none"/>
        </w:rPr>
      </w:pPr>
    </w:p>
    <w:p>
      <w:pPr>
        <w:pStyle w:val="5"/>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仿宋_GB2312" w:hAnsi="仿宋_GB2312" w:eastAsia="仿宋_GB2312" w:cs="仿宋_GB2312"/>
          <w:color w:val="auto"/>
          <w:highlight w:val="none"/>
        </w:rPr>
      </w:pPr>
      <w:bookmarkStart w:id="34" w:name="_Toc85191195"/>
      <w:r>
        <w:rPr>
          <w:rFonts w:hint="eastAsia" w:ascii="仿宋_GB2312" w:hAnsi="仿宋_GB2312" w:eastAsia="仿宋_GB2312" w:cs="仿宋_GB2312"/>
          <w:color w:val="auto"/>
          <w:highlight w:val="none"/>
        </w:rPr>
        <w:t>第六节 知识产权人才培训类资助</w:t>
      </w:r>
      <w:bookmarkEnd w:id="34"/>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5" w:name="_Toc85191196"/>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三十八</w:t>
      </w:r>
      <w:r>
        <w:rPr>
          <w:rFonts w:hint="eastAsia" w:ascii="仿宋_GB2312" w:hAnsi="仿宋_GB2312" w:eastAsia="仿宋_GB2312" w:cs="仿宋_GB2312"/>
          <w:b/>
          <w:color w:val="auto"/>
          <w:sz w:val="32"/>
          <w:szCs w:val="32"/>
          <w:highlight w:val="none"/>
        </w:rPr>
        <w:t xml:space="preserve">条 </w:t>
      </w:r>
      <w:bookmarkEnd w:id="35"/>
      <w:r>
        <w:rPr>
          <w:rFonts w:hint="eastAsia" w:ascii="仿宋_GB2312" w:hAnsi="仿宋_GB2312" w:eastAsia="仿宋_GB2312" w:cs="仿宋_GB2312"/>
          <w:b/>
          <w:color w:val="auto"/>
          <w:sz w:val="32"/>
          <w:szCs w:val="32"/>
          <w:highlight w:val="none"/>
        </w:rPr>
        <w:t>优秀知识产权人才资助：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（一）专利代理师考试合格资助：通过国家专利代理师考试并在佛山市行政区域内的依法登记注册的专利代理机构、服务机构或企事业单位内任职，且在本市连续缴纳社保超过</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年，一次性资助1万元。</w:t>
      </w:r>
      <w:r>
        <w:rPr>
          <w:rFonts w:hint="eastAsia" w:ascii="仿宋_GB2312" w:hAnsi="仿宋_GB2312" w:eastAsia="仿宋_GB2312" w:cs="仿宋_GB2312"/>
          <w:color w:val="auto"/>
          <w:sz w:val="32"/>
          <w:szCs w:val="32"/>
          <w:highlight w:val="none"/>
          <w:lang w:eastAsia="zh-CN"/>
        </w:rPr>
        <w:t>对通过了法律资格考试的上述专利代理师，另外一次性资助</w:t>
      </w:r>
      <w:r>
        <w:rPr>
          <w:rFonts w:hint="eastAsia" w:ascii="仿宋_GB2312" w:hAnsi="仿宋_GB2312" w:eastAsia="仿宋_GB2312" w:cs="仿宋_GB2312"/>
          <w:color w:val="auto"/>
          <w:sz w:val="32"/>
          <w:szCs w:val="32"/>
          <w:highlight w:val="none"/>
          <w:lang w:val="en-US" w:eastAsia="zh-CN"/>
        </w:rPr>
        <w:t>2万元。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（二）知识产权贯标体系审核员资助：通过中国认证认可协会注册的知识产权管理体系审核员</w:t>
      </w:r>
      <w:r>
        <w:rPr>
          <w:rFonts w:hint="eastAsia" w:ascii="仿宋_GB2312" w:hAnsi="仿宋_GB2312" w:eastAsia="仿宋_GB2312" w:cs="仿宋_GB2312"/>
          <w:color w:val="auto"/>
          <w:sz w:val="32"/>
          <w:szCs w:val="32"/>
          <w:highlight w:val="none"/>
          <w:lang w:eastAsia="zh-CN"/>
        </w:rPr>
        <w:t>（外审员）</w:t>
      </w:r>
      <w:r>
        <w:rPr>
          <w:rFonts w:hint="eastAsia" w:ascii="仿宋_GB2312" w:hAnsi="仿宋_GB2312" w:eastAsia="仿宋_GB2312" w:cs="仿宋_GB2312"/>
          <w:color w:val="auto"/>
          <w:sz w:val="32"/>
          <w:szCs w:val="32"/>
          <w:highlight w:val="none"/>
        </w:rPr>
        <w:t>，从事全职认证工作，且在本市连续缴纳社保超过</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年，一次性资助1万元。</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（三）支持佛山市行政区域内的高等院校、科研单位、企业（含知识产权服务机构）培养知识产权专业人才，对在同一单位任职且在本市连续缴纳社保超过</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年，取得中级知识产权师、高级知识产权师、正高级知识产权师职称的</w:t>
      </w:r>
      <w:r>
        <w:rPr>
          <w:rFonts w:hint="eastAsia" w:ascii="仿宋_GB2312" w:hAnsi="仿宋_GB2312" w:eastAsia="仿宋_GB2312" w:cs="仿宋_GB2312"/>
          <w:color w:val="auto"/>
          <w:sz w:val="32"/>
          <w:szCs w:val="32"/>
          <w:highlight w:val="none"/>
          <w:lang w:eastAsia="zh-CN"/>
        </w:rPr>
        <w:t>个人</w:t>
      </w:r>
      <w:r>
        <w:rPr>
          <w:rFonts w:hint="eastAsia" w:ascii="仿宋_GB2312" w:hAnsi="仿宋_GB2312" w:eastAsia="仿宋_GB2312" w:cs="仿宋_GB2312"/>
          <w:color w:val="auto"/>
          <w:sz w:val="32"/>
          <w:szCs w:val="32"/>
          <w:highlight w:val="none"/>
        </w:rPr>
        <w:t>，按3000元/人、10000元/人、20000元/人标准给予资助。同一人同一职称只资助一次，不重复资助。</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6" w:name="_Toc85191198"/>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三十九</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b/>
          <w:color w:val="auto"/>
          <w:sz w:val="32"/>
          <w:szCs w:val="32"/>
          <w:highlight w:val="none"/>
          <w:lang w:eastAsia="zh-CN"/>
        </w:rPr>
        <w:t>院校知识产权</w:t>
      </w:r>
      <w:r>
        <w:rPr>
          <w:rFonts w:hint="eastAsia" w:ascii="仿宋_GB2312" w:hAnsi="仿宋_GB2312" w:eastAsia="仿宋_GB2312" w:cs="仿宋_GB2312"/>
          <w:b/>
          <w:color w:val="auto"/>
          <w:sz w:val="32"/>
          <w:szCs w:val="32"/>
          <w:highlight w:val="none"/>
        </w:rPr>
        <w:t>培训资助</w:t>
      </w:r>
      <w:bookmarkEnd w:id="36"/>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鼓励佛山市行政区域内</w:t>
      </w:r>
      <w:r>
        <w:rPr>
          <w:rFonts w:hint="eastAsia" w:ascii="仿宋_GB2312" w:hAnsi="仿宋_GB2312" w:eastAsia="仿宋_GB2312" w:cs="仿宋_GB2312"/>
          <w:color w:val="auto"/>
          <w:sz w:val="32"/>
          <w:szCs w:val="32"/>
          <w:highlight w:val="none"/>
          <w:lang w:eastAsia="zh-CN"/>
        </w:rPr>
        <w:t>大中专院校</w:t>
      </w:r>
      <w:r>
        <w:rPr>
          <w:rFonts w:hint="eastAsia" w:ascii="仿宋_GB2312" w:hAnsi="仿宋_GB2312" w:eastAsia="仿宋_GB2312" w:cs="仿宋_GB2312"/>
          <w:color w:val="auto"/>
          <w:sz w:val="32"/>
          <w:szCs w:val="32"/>
          <w:highlight w:val="none"/>
        </w:rPr>
        <w:t>开设知识产权相关的主修、辅修、选修课程，建立完善的教育管理及课程评价体系。学校应邀请或聘请有资质的教员为至少</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00名学员进行至少10课时（45分钟课程为1个课时）的课程教学并对通过考核的学员发放相关证书。</w:t>
      </w:r>
      <w:r>
        <w:rPr>
          <w:rFonts w:hint="eastAsia" w:ascii="仿宋_GB2312" w:hAnsi="仿宋_GB2312" w:eastAsia="仿宋_GB2312" w:cs="仿宋_GB2312"/>
          <w:color w:val="auto"/>
          <w:sz w:val="32"/>
          <w:szCs w:val="32"/>
          <w:highlight w:val="none"/>
          <w:lang w:eastAsia="zh-CN"/>
        </w:rPr>
        <w:t>根据实际成本</w:t>
      </w:r>
      <w:r>
        <w:rPr>
          <w:rFonts w:hint="eastAsia" w:ascii="仿宋_GB2312" w:hAnsi="仿宋_GB2312" w:eastAsia="仿宋_GB2312" w:cs="仿宋_GB2312"/>
          <w:color w:val="auto"/>
          <w:sz w:val="32"/>
          <w:szCs w:val="32"/>
          <w:highlight w:val="none"/>
        </w:rPr>
        <w:t>每年对单个学校的资助不超过20万元。此项每年安排金额不超过300万。</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bookmarkStart w:id="37" w:name="_Toc85191199"/>
      <w:r>
        <w:rPr>
          <w:rFonts w:hint="eastAsia" w:ascii="仿宋_GB2312" w:hAnsi="仿宋_GB2312" w:eastAsia="仿宋_GB2312" w:cs="仿宋_GB2312"/>
          <w:b/>
          <w:color w:val="auto"/>
          <w:sz w:val="32"/>
          <w:szCs w:val="32"/>
          <w:highlight w:val="none"/>
        </w:rPr>
        <w:t>第四十条 人才储备奖励</w:t>
      </w:r>
      <w:bookmarkEnd w:id="37"/>
      <w:r>
        <w:rPr>
          <w:rFonts w:hint="eastAsia" w:ascii="仿宋_GB2312" w:hAnsi="仿宋_GB2312" w:eastAsia="仿宋_GB2312" w:cs="仿宋_GB2312"/>
          <w:b/>
          <w:color w:val="auto"/>
          <w:sz w:val="32"/>
          <w:szCs w:val="32"/>
          <w:highlight w:val="none"/>
        </w:rPr>
        <w:t>：</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佛山市行政区域内依法登记注册的企事业单位、社会团体及其他社会组织</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工作人员新取得专利代理师执业资格证书且服务满一年以上的，对所在</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按照5000元/人的标准给予奖励；新取得知识产权专业中级、高级技术职称且服务满一年以上的，对所在</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按照中级职称3000/人、高级职称10000元/人、正高级职称20000元/人的标准给予奖励。</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color w:val="auto"/>
          <w:highlight w:val="none"/>
        </w:rPr>
      </w:pPr>
      <w:r>
        <w:rPr>
          <w:rFonts w:hint="eastAsia" w:ascii="仿宋_GB2312" w:hAnsi="仿宋_GB2312" w:eastAsia="仿宋_GB2312" w:cs="仿宋_GB2312"/>
          <w:color w:val="auto"/>
          <w:sz w:val="32"/>
          <w:szCs w:val="32"/>
          <w:highlight w:val="none"/>
          <w:lang w:eastAsia="zh-CN"/>
        </w:rPr>
        <w:t>（二）专利</w:t>
      </w:r>
      <w:r>
        <w:rPr>
          <w:rFonts w:hint="eastAsia" w:ascii="仿宋_GB2312" w:hAnsi="仿宋_GB2312" w:eastAsia="仿宋_GB2312" w:cs="仿宋_GB2312"/>
          <w:color w:val="auto"/>
          <w:sz w:val="32"/>
          <w:szCs w:val="32"/>
          <w:highlight w:val="none"/>
        </w:rPr>
        <w:t>代理人在同一家机构连续服务5年以上的，对所在机构按照</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万元/人的标准给予奖励；</w:t>
      </w:r>
      <w:r>
        <w:rPr>
          <w:rFonts w:hint="eastAsia" w:ascii="仿宋_GB2312" w:hAnsi="仿宋_GB2312" w:eastAsia="仿宋_GB2312" w:cs="仿宋_GB2312"/>
          <w:color w:val="auto"/>
          <w:sz w:val="32"/>
          <w:szCs w:val="32"/>
          <w:highlight w:val="none"/>
          <w:lang w:eastAsia="zh-CN"/>
        </w:rPr>
        <w:t>专利</w:t>
      </w:r>
      <w:r>
        <w:rPr>
          <w:rFonts w:hint="eastAsia" w:ascii="仿宋_GB2312" w:hAnsi="仿宋_GB2312" w:eastAsia="仿宋_GB2312" w:cs="仿宋_GB2312"/>
          <w:color w:val="auto"/>
          <w:sz w:val="32"/>
          <w:szCs w:val="32"/>
          <w:highlight w:val="none"/>
        </w:rPr>
        <w:t>代理人在同一家机构连续服务</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年以上的，对所在机构按照</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万元/人的标准给予奖励</w:t>
      </w:r>
      <w:r>
        <w:rPr>
          <w:rFonts w:hint="eastAsia" w:ascii="仿宋_GB2312" w:hAnsi="仿宋_GB2312" w:eastAsia="仿宋_GB2312" w:cs="仿宋_GB2312"/>
          <w:color w:val="auto"/>
          <w:sz w:val="32"/>
          <w:szCs w:val="32"/>
          <w:highlight w:val="none"/>
          <w:lang w:eastAsia="zh-CN"/>
        </w:rPr>
        <w:t>。同一代理人只可申请一次奖励，不可重复申请</w:t>
      </w:r>
      <w:bookmarkStart w:id="38" w:name="_GoBack"/>
      <w:bookmarkEnd w:id="38"/>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条 其他项目资助：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佛山</w:t>
      </w:r>
      <w:r>
        <w:rPr>
          <w:rFonts w:hint="eastAsia" w:ascii="仿宋_GB2312" w:hAnsi="仿宋_GB2312" w:eastAsia="仿宋_GB2312" w:cs="仿宋_GB2312"/>
          <w:color w:val="auto"/>
          <w:sz w:val="32"/>
          <w:szCs w:val="32"/>
          <w:highlight w:val="none"/>
        </w:rPr>
        <w:t>市市场监督管理局可根据国家知识产权局、省知识产权局及市委、市政府的战略部署，围绕知识产权重点工作，按照财政年度预算，除专利后</w:t>
      </w:r>
      <w:r>
        <w:rPr>
          <w:rFonts w:hint="eastAsia" w:ascii="仿宋_GB2312" w:hAnsi="仿宋_GB2312" w:eastAsia="仿宋_GB2312" w:cs="仿宋_GB2312"/>
          <w:color w:val="auto"/>
          <w:sz w:val="32"/>
          <w:szCs w:val="32"/>
          <w:highlight w:val="none"/>
          <w:lang w:eastAsia="zh-CN"/>
        </w:rPr>
        <w:t>资助</w:t>
      </w:r>
      <w:r>
        <w:rPr>
          <w:rFonts w:hint="eastAsia" w:ascii="仿宋_GB2312" w:hAnsi="仿宋_GB2312" w:eastAsia="仿宋_GB2312" w:cs="仿宋_GB2312"/>
          <w:color w:val="auto"/>
          <w:sz w:val="32"/>
          <w:szCs w:val="32"/>
          <w:highlight w:val="none"/>
        </w:rPr>
        <w:t>外，增设高质量专利培育、高知名度商标培育、战略性新兴产业导航工程、知识产权保护、知识产权维权援助公共服务、知识产权交易运营、知识产权投融资、</w:t>
      </w:r>
      <w:r>
        <w:rPr>
          <w:rFonts w:hint="eastAsia" w:ascii="仿宋_GB2312" w:hAnsi="仿宋_GB2312" w:eastAsia="仿宋_GB2312" w:cs="仿宋_GB2312"/>
          <w:color w:val="auto"/>
          <w:sz w:val="32"/>
          <w:szCs w:val="32"/>
          <w:highlight w:val="none"/>
          <w:lang w:eastAsia="zh-CN"/>
        </w:rPr>
        <w:t>知识产权</w:t>
      </w:r>
      <w:r>
        <w:rPr>
          <w:rFonts w:hint="eastAsia" w:ascii="仿宋_GB2312" w:hAnsi="仿宋_GB2312" w:eastAsia="仿宋_GB2312" w:cs="仿宋_GB2312"/>
          <w:color w:val="auto"/>
          <w:sz w:val="32"/>
          <w:szCs w:val="32"/>
          <w:highlight w:val="none"/>
        </w:rPr>
        <w:t>保险、</w:t>
      </w:r>
      <w:r>
        <w:rPr>
          <w:rFonts w:hint="eastAsia" w:ascii="仿宋_GB2312" w:hAnsi="仿宋_GB2312" w:eastAsia="仿宋_GB2312" w:cs="仿宋_GB2312"/>
          <w:color w:val="auto"/>
          <w:sz w:val="32"/>
          <w:szCs w:val="32"/>
          <w:highlight w:val="none"/>
          <w:lang w:eastAsia="zh-CN"/>
        </w:rPr>
        <w:t>知识产权智库平台、</w:t>
      </w:r>
      <w:r>
        <w:rPr>
          <w:rFonts w:hint="eastAsia" w:ascii="仿宋_GB2312" w:hAnsi="仿宋_GB2312" w:eastAsia="仿宋_GB2312" w:cs="仿宋_GB2312"/>
          <w:color w:val="auto"/>
          <w:sz w:val="32"/>
          <w:szCs w:val="32"/>
          <w:highlight w:val="none"/>
        </w:rPr>
        <w:t>知识产权服务能力提升、</w:t>
      </w:r>
      <w:r>
        <w:rPr>
          <w:rFonts w:hint="eastAsia" w:ascii="仿宋_GB2312" w:hAnsi="仿宋_GB2312" w:eastAsia="仿宋_GB2312" w:cs="仿宋_GB2312"/>
          <w:b/>
          <w:color w:val="auto"/>
          <w:sz w:val="32"/>
          <w:szCs w:val="32"/>
          <w:highlight w:val="none"/>
          <w:lang w:eastAsia="zh-CN"/>
        </w:rPr>
        <w:t>大专院校</w:t>
      </w:r>
      <w:r>
        <w:rPr>
          <w:rFonts w:hint="eastAsia" w:ascii="仿宋_GB2312" w:hAnsi="仿宋_GB2312" w:eastAsia="仿宋_GB2312" w:cs="仿宋_GB2312"/>
          <w:color w:val="auto"/>
          <w:sz w:val="32"/>
          <w:szCs w:val="32"/>
          <w:highlight w:val="none"/>
        </w:rPr>
        <w:t>知识产权</w:t>
      </w:r>
      <w:r>
        <w:rPr>
          <w:rFonts w:hint="eastAsia" w:ascii="仿宋_GB2312" w:hAnsi="仿宋_GB2312" w:eastAsia="仿宋_GB2312" w:cs="仿宋_GB2312"/>
          <w:color w:val="auto"/>
          <w:sz w:val="32"/>
          <w:szCs w:val="32"/>
          <w:highlight w:val="none"/>
          <w:lang w:eastAsia="zh-CN"/>
        </w:rPr>
        <w:t>课程开设</w:t>
      </w:r>
      <w:r>
        <w:rPr>
          <w:rFonts w:hint="eastAsia" w:ascii="仿宋_GB2312" w:hAnsi="仿宋_GB2312" w:eastAsia="仿宋_GB2312" w:cs="仿宋_GB2312"/>
          <w:color w:val="auto"/>
          <w:sz w:val="32"/>
          <w:szCs w:val="32"/>
          <w:highlight w:val="none"/>
        </w:rPr>
        <w:t>、知识产权人才培养等项目，每个项目资助不超过100万元。</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val="en-US" w:eastAsia="zh-CN"/>
        </w:rPr>
        <w:t>二</w:t>
      </w:r>
      <w:r>
        <w:rPr>
          <w:rFonts w:hint="eastAsia" w:ascii="仿宋_GB2312" w:hAnsi="仿宋_GB2312" w:eastAsia="仿宋_GB2312" w:cs="仿宋_GB2312"/>
          <w:b/>
          <w:color w:val="auto"/>
          <w:sz w:val="32"/>
          <w:szCs w:val="32"/>
          <w:highlight w:val="none"/>
        </w:rPr>
        <w:t>条  总限额条款</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同一年度同一单位或个人获得本办法各类资助总额不超过500万元（国家知识产权示范优势企业、中国专利奖、中国商标金奖、驰名商标、广东专利奖</w:t>
      </w:r>
      <w:r>
        <w:rPr>
          <w:rFonts w:hint="eastAsia" w:ascii="仿宋_GB2312" w:hAnsi="仿宋_GB2312" w:eastAsia="仿宋_GB2312" w:cs="仿宋_GB2312"/>
          <w:color w:val="auto"/>
          <w:sz w:val="32"/>
          <w:szCs w:val="32"/>
          <w:highlight w:val="none"/>
          <w:lang w:eastAsia="zh-CN"/>
        </w:rPr>
        <w:t>的奖励额度</w:t>
      </w:r>
      <w:r>
        <w:rPr>
          <w:rFonts w:hint="eastAsia" w:ascii="仿宋_GB2312" w:hAnsi="仿宋_GB2312" w:eastAsia="仿宋_GB2312" w:cs="仿宋_GB2312"/>
          <w:color w:val="auto"/>
          <w:sz w:val="32"/>
          <w:szCs w:val="32"/>
          <w:highlight w:val="none"/>
        </w:rPr>
        <w:t>不包括在内）。所有资助币种为人民币。</w:t>
      </w: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hint="eastAsia" w:ascii="黑体" w:hAnsi="黑体" w:eastAsia="黑体" w:cs="黑体"/>
          <w:b w:val="0"/>
          <w:bCs w:val="0"/>
          <w:color w:val="auto"/>
          <w:highlight w:val="none"/>
        </w:rPr>
      </w:pP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黑体" w:hAnsi="黑体" w:eastAsia="黑体" w:cs="黑体"/>
          <w:b w:val="0"/>
          <w:bCs w:val="0"/>
          <w:color w:val="auto"/>
          <w:highlight w:val="none"/>
        </w:rPr>
      </w:pPr>
      <w:r>
        <w:rPr>
          <w:rFonts w:hint="eastAsia" w:ascii="黑体" w:hAnsi="黑体" w:eastAsia="黑体" w:cs="黑体"/>
          <w:b w:val="0"/>
          <w:bCs w:val="0"/>
          <w:color w:val="auto"/>
          <w:highlight w:val="none"/>
        </w:rPr>
        <w:t>第三章 审批流程和监督管理</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各类知识产权资助的申报时间、类别、条件、材料要求等，以当年度</w:t>
      </w:r>
      <w:r>
        <w:rPr>
          <w:rFonts w:hint="eastAsia" w:ascii="仿宋_GB2312" w:hAnsi="仿宋_GB2312" w:eastAsia="仿宋_GB2312" w:cs="仿宋_GB2312"/>
          <w:color w:val="auto"/>
          <w:sz w:val="32"/>
          <w:szCs w:val="32"/>
          <w:highlight w:val="none"/>
          <w:lang w:eastAsia="zh-CN"/>
        </w:rPr>
        <w:t>佛山</w:t>
      </w:r>
      <w:r>
        <w:rPr>
          <w:rFonts w:hint="eastAsia" w:ascii="仿宋_GB2312" w:hAnsi="仿宋_GB2312" w:eastAsia="仿宋_GB2312" w:cs="仿宋_GB2312"/>
          <w:color w:val="auto"/>
          <w:sz w:val="32"/>
          <w:szCs w:val="32"/>
          <w:highlight w:val="none"/>
        </w:rPr>
        <w:t>市市场监督管理局发布的申报通知或申报指南为准。</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各类知识产权资助的申请和审批流程如下：</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（一）申请人根据佛山市市场监督管理局发布的各类知识产权资助申报通知或项目申报指南</w:t>
      </w:r>
      <w:r>
        <w:rPr>
          <w:rFonts w:hint="eastAsia" w:ascii="仿宋_GB2312" w:hAnsi="仿宋_GB2312" w:eastAsia="仿宋_GB2312" w:cs="仿宋_GB2312"/>
          <w:color w:val="auto"/>
          <w:sz w:val="32"/>
          <w:szCs w:val="32"/>
          <w:highlight w:val="none"/>
          <w:lang w:eastAsia="zh-CN"/>
        </w:rPr>
        <w:t>，登录“佛山扶持通”平台</w:t>
      </w:r>
      <w:r>
        <w:rPr>
          <w:rFonts w:hint="eastAsia" w:ascii="仿宋_GB2312" w:hAnsi="仿宋_GB2312" w:eastAsia="仿宋_GB2312" w:cs="仿宋_GB2312"/>
          <w:color w:val="auto"/>
          <w:sz w:val="32"/>
          <w:szCs w:val="32"/>
          <w:highlight w:val="none"/>
        </w:rPr>
        <w:t>提交申请材料。</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（二）申请材料由申请人所在区的</w:t>
      </w:r>
      <w:r>
        <w:rPr>
          <w:rFonts w:hint="eastAsia" w:ascii="仿宋_GB2312" w:hAnsi="仿宋_GB2312" w:eastAsia="仿宋_GB2312" w:cs="仿宋_GB2312"/>
          <w:color w:val="auto"/>
          <w:sz w:val="32"/>
          <w:szCs w:val="32"/>
          <w:highlight w:val="none"/>
          <w:lang w:eastAsia="zh-CN"/>
        </w:rPr>
        <w:t>市场监督管理局</w:t>
      </w:r>
      <w:r>
        <w:rPr>
          <w:rFonts w:hint="eastAsia" w:ascii="仿宋_GB2312" w:hAnsi="仿宋_GB2312" w:eastAsia="仿宋_GB2312" w:cs="仿宋_GB2312"/>
          <w:color w:val="auto"/>
          <w:sz w:val="32"/>
          <w:szCs w:val="32"/>
          <w:highlight w:val="none"/>
        </w:rPr>
        <w:t>进行初审，再由佛山市市场监督管理局或由佛山市市场监督管理局委托的第三方服务机构进行审查。审查不合格的可退回修改，并在规定时间内重新提交申请材料。逾期不提交，视为放弃申请。</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审核合格的资助项目，按照市财政资金规定进行项目评审，必要时对申请人进行实地考察，佛山市市场监督管理局根据专家评审结果确定拟资助的项目名单，并在网站公示，公示期为7个工作日，公示期满无异议或异议不成立的，经佛山市人民政府审核同意后，由佛山市财政局下达项目资助经费拨付通知并下达相应资金。</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佛山市市场监督管理局根据实际需要，可对申请资助、获得资助的单位或者个人进行核实或现场考查，有关单位和个人应予以配合，否则视为不通过审核，已获得资助的，全额收回已发放的资助资金。</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依本办法第</w:t>
      </w:r>
      <w:r>
        <w:rPr>
          <w:rFonts w:hint="eastAsia" w:ascii="仿宋_GB2312" w:hAnsi="仿宋_GB2312" w:eastAsia="仿宋_GB2312" w:cs="仿宋_GB2312"/>
          <w:color w:val="auto"/>
          <w:sz w:val="32"/>
          <w:szCs w:val="32"/>
          <w:highlight w:val="none"/>
          <w:lang w:eastAsia="zh-CN"/>
        </w:rPr>
        <w:t>四十一</w:t>
      </w:r>
      <w:r>
        <w:rPr>
          <w:rFonts w:hint="eastAsia" w:ascii="仿宋_GB2312" w:hAnsi="仿宋_GB2312" w:eastAsia="仿宋_GB2312" w:cs="仿宋_GB2312"/>
          <w:color w:val="auto"/>
          <w:sz w:val="32"/>
          <w:szCs w:val="32"/>
          <w:highlight w:val="none"/>
        </w:rPr>
        <w:t>条资助项目承担单位应与佛山市市场监督管理局签订项目合同书，按合同书进行项目管理，项目完成时按相关规定进行项目验收，项目管理及验收办法另行规定。</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第四十</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享受本办法资助的申请人须签订承诺书，承诺对相关政策及约定知悉。若资助申请人违反承诺，应主动退回所获资助资金。</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四十八</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申请人应按要求提供真实、有效的申报材料，出现下列情形之一，由佛山市市场监督管理局追回全部已拨付的财政资金，取消其3年内申请知识产权各类财政扶持资金的资格，涉嫌犯罪的，依法移送司法机关追究刑事责任。</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（一）违反本办法相关规定的；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（二）用虚假材料和证明骗取资助资金的；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（三）出现其它违反国家有关法律法规行为的。</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四十九</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申请人存在下列情形之一的，不予资助；已经资助的，责令限期退回，且不在获得本办法规定的资助：</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（一）被认定为非正常专利申请行为、商标恶意抢注行为的；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（二）存在知识产权权属纠纷的；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（三）不符合相关法律法规、本办法要求的；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（四）近</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年被列入财政专项资金违规、失信名单，或被列入国家有关部门失信惩戒名单的；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（五）拒不执行生效的知识产权行政处理规定或司法裁判的，或侵犯他人知识产权构成犯罪的；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（六）被列入破产清算或注销名单的；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（七）同一事项重复申请的；</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（八）其他法律法规规定不予资助情形的。</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第五十条 </w:t>
      </w:r>
      <w:r>
        <w:rPr>
          <w:rFonts w:hint="eastAsia" w:ascii="仿宋_GB2312" w:hAnsi="仿宋_GB2312" w:eastAsia="仿宋_GB2312" w:cs="仿宋_GB2312"/>
          <w:color w:val="auto"/>
          <w:sz w:val="32"/>
          <w:szCs w:val="32"/>
          <w:highlight w:val="none"/>
        </w:rPr>
        <w:t>各类知识产权资助经费坚持专款专用原则，接受纪检、审计、财政等部门的监督和考核。专项资金主管部门工作人员、评审专家在项目评审和资金分配中存在违法、违纪行为的，依照《中华人民共和国公务员法》《行政机关公务员处分条例》《广东省行政过错责任追究暂行办法》等法律法规处理。</w:t>
      </w:r>
    </w:p>
    <w:p>
      <w:pPr>
        <w:pageBreakBefore w:val="0"/>
        <w:widowControl w:val="0"/>
        <w:kinsoku/>
        <w:wordWrap/>
        <w:overflowPunct/>
        <w:topLinePunct w:val="0"/>
        <w:autoSpaceDE/>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auto"/>
          <w:sz w:val="32"/>
          <w:szCs w:val="32"/>
          <w:highlight w:val="none"/>
        </w:rPr>
      </w:pPr>
    </w:p>
    <w:p>
      <w:pPr>
        <w:pStyle w:val="4"/>
        <w:pageBreakBefore w:val="0"/>
        <w:widowControl w:val="0"/>
        <w:kinsoku/>
        <w:wordWrap/>
        <w:overflowPunct/>
        <w:topLinePunct w:val="0"/>
        <w:autoSpaceDE/>
        <w:bidi w:val="0"/>
        <w:adjustRightInd/>
        <w:snapToGrid/>
        <w:spacing w:before="0" w:after="0" w:line="560" w:lineRule="exact"/>
        <w:ind w:left="0" w:leftChars="0" w:right="0" w:rightChars="0"/>
        <w:jc w:val="center"/>
        <w:textAlignment w:val="auto"/>
        <w:rPr>
          <w:rFonts w:ascii="黑体" w:hAnsi="黑体" w:eastAsia="黑体" w:cs="黑体"/>
          <w:b w:val="0"/>
          <w:bCs w:val="0"/>
          <w:color w:val="auto"/>
          <w:highlight w:val="none"/>
        </w:rPr>
      </w:pPr>
      <w:r>
        <w:rPr>
          <w:rFonts w:hint="eastAsia" w:ascii="黑体" w:hAnsi="黑体" w:eastAsia="黑体" w:cs="黑体"/>
          <w:b w:val="0"/>
          <w:bCs w:val="0"/>
          <w:color w:val="auto"/>
          <w:highlight w:val="none"/>
        </w:rPr>
        <w:t>第四章 附则</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第五十</w:t>
      </w: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本办法设计“至少”、“不超过”、“以上”、“最高”、“最多”、“不少于”的表述，均包含本数。</w:t>
      </w:r>
    </w:p>
    <w:p>
      <w:pPr>
        <w:pStyle w:val="2"/>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b w:val="0"/>
          <w:bCs/>
          <w:color w:val="auto"/>
          <w:sz w:val="32"/>
          <w:szCs w:val="32"/>
          <w:highlight w:val="none"/>
          <w:lang w:eastAsia="zh-CN"/>
        </w:rPr>
        <w:t>符合</w:t>
      </w:r>
      <w:r>
        <w:rPr>
          <w:rFonts w:hint="eastAsia" w:ascii="仿宋_GB2312" w:hAnsi="仿宋_GB2312" w:eastAsia="仿宋_GB2312" w:cs="仿宋_GB2312"/>
          <w:color w:val="auto"/>
          <w:sz w:val="32"/>
          <w:szCs w:val="32"/>
          <w:highlight w:val="none"/>
          <w:lang w:val="en-US" w:eastAsia="zh-CN"/>
        </w:rPr>
        <w:t>本办法第三十条、第三十一条、第三十九条的申报项目金额超过该项目年度安排资金上限的，则按比例降低标准的形式进行资助。</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第五十</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符合本办法规定的同一项目、同一事项同时符合本办法或本区域其他扶持政策规定（含上级部门及本区域配套或负担资金政策规定）的，按照从高不重复的原则予以支持，另有规定的除外。</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本办法与国家、省的相关规定不一致的，按照国家、省的相关规定执行。</w:t>
      </w:r>
    </w:p>
    <w:p>
      <w:pPr>
        <w:pageBreakBefore w:val="0"/>
        <w:widowControl w:val="0"/>
        <w:kinsoku/>
        <w:wordWrap/>
        <w:overflowPunct/>
        <w:topLinePunct w:val="0"/>
        <w:autoSpaceDE/>
        <w:bidi w:val="0"/>
        <w:adjustRightInd/>
        <w:snapToGrid/>
        <w:spacing w:line="560" w:lineRule="exact"/>
        <w:ind w:left="0" w:leftChars="0" w:right="0" w:rightChars="0"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本办法自印发之日起实施，除专利授权类资助条款有效期至2024年12月31日外，其余条款有效期5年。原《佛山市促进专利高质量发展资助办法》（佛市监办发[2019]11号）同时废止。本办法由</w:t>
      </w:r>
      <w:r>
        <w:rPr>
          <w:rFonts w:hint="eastAsia" w:ascii="仿宋_GB2312" w:hAnsi="仿宋_GB2312" w:eastAsia="仿宋_GB2312" w:cs="仿宋_GB2312"/>
          <w:color w:val="auto"/>
          <w:sz w:val="32"/>
          <w:szCs w:val="32"/>
          <w:highlight w:val="none"/>
          <w:lang w:eastAsia="zh-CN"/>
        </w:rPr>
        <w:t>佛山</w:t>
      </w:r>
      <w:r>
        <w:rPr>
          <w:rFonts w:hint="eastAsia" w:ascii="仿宋_GB2312" w:hAnsi="仿宋_GB2312" w:eastAsia="仿宋_GB2312" w:cs="仿宋_GB2312"/>
          <w:color w:val="auto"/>
          <w:sz w:val="32"/>
          <w:szCs w:val="32"/>
          <w:highlight w:val="none"/>
        </w:rPr>
        <w:t>市市场监督管理局负责解释，各区可参照本办法修订相关知识产权资助政策。</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23</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1CAD2"/>
    <w:multiLevelType w:val="singleLevel"/>
    <w:tmpl w:val="6191CAD2"/>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A2"/>
    <w:rsid w:val="00000891"/>
    <w:rsid w:val="00004E05"/>
    <w:rsid w:val="00007126"/>
    <w:rsid w:val="00020C90"/>
    <w:rsid w:val="0002103C"/>
    <w:rsid w:val="000333AF"/>
    <w:rsid w:val="00042295"/>
    <w:rsid w:val="00065D9C"/>
    <w:rsid w:val="000744B1"/>
    <w:rsid w:val="00082A44"/>
    <w:rsid w:val="00091A7F"/>
    <w:rsid w:val="000954DE"/>
    <w:rsid w:val="00095C3F"/>
    <w:rsid w:val="000A3A1C"/>
    <w:rsid w:val="000B1BBD"/>
    <w:rsid w:val="000B1D49"/>
    <w:rsid w:val="000B23A8"/>
    <w:rsid w:val="000B72BA"/>
    <w:rsid w:val="000F0C09"/>
    <w:rsid w:val="000F1465"/>
    <w:rsid w:val="00110D52"/>
    <w:rsid w:val="00112DC2"/>
    <w:rsid w:val="00114B9E"/>
    <w:rsid w:val="001620BE"/>
    <w:rsid w:val="0016562B"/>
    <w:rsid w:val="00166D7B"/>
    <w:rsid w:val="00186A46"/>
    <w:rsid w:val="001A2815"/>
    <w:rsid w:val="001A2C3C"/>
    <w:rsid w:val="001A2F4C"/>
    <w:rsid w:val="001A704B"/>
    <w:rsid w:val="001B4B0C"/>
    <w:rsid w:val="001B6C0A"/>
    <w:rsid w:val="001C0AA2"/>
    <w:rsid w:val="001C24BA"/>
    <w:rsid w:val="001E16C2"/>
    <w:rsid w:val="001E4F03"/>
    <w:rsid w:val="00201042"/>
    <w:rsid w:val="00224CAA"/>
    <w:rsid w:val="00231E45"/>
    <w:rsid w:val="00237FE1"/>
    <w:rsid w:val="002412D3"/>
    <w:rsid w:val="002541B9"/>
    <w:rsid w:val="00272201"/>
    <w:rsid w:val="0029702A"/>
    <w:rsid w:val="002B3398"/>
    <w:rsid w:val="002E5FF6"/>
    <w:rsid w:val="002F25CB"/>
    <w:rsid w:val="002F588C"/>
    <w:rsid w:val="00302040"/>
    <w:rsid w:val="003220F9"/>
    <w:rsid w:val="00360761"/>
    <w:rsid w:val="00371873"/>
    <w:rsid w:val="003726E4"/>
    <w:rsid w:val="003919F5"/>
    <w:rsid w:val="00396C0F"/>
    <w:rsid w:val="003C2E79"/>
    <w:rsid w:val="003F4F7F"/>
    <w:rsid w:val="00423799"/>
    <w:rsid w:val="0042461B"/>
    <w:rsid w:val="00447767"/>
    <w:rsid w:val="0045650A"/>
    <w:rsid w:val="00463440"/>
    <w:rsid w:val="0046744D"/>
    <w:rsid w:val="004720C8"/>
    <w:rsid w:val="00481432"/>
    <w:rsid w:val="004A53E7"/>
    <w:rsid w:val="004A7F9C"/>
    <w:rsid w:val="004B2ECF"/>
    <w:rsid w:val="004B50B5"/>
    <w:rsid w:val="004C249E"/>
    <w:rsid w:val="004D2CE1"/>
    <w:rsid w:val="004D330F"/>
    <w:rsid w:val="004D4D7F"/>
    <w:rsid w:val="004E6995"/>
    <w:rsid w:val="004F14EA"/>
    <w:rsid w:val="00504041"/>
    <w:rsid w:val="00551128"/>
    <w:rsid w:val="0055790C"/>
    <w:rsid w:val="00562B19"/>
    <w:rsid w:val="00591E04"/>
    <w:rsid w:val="005A0A17"/>
    <w:rsid w:val="005A50A2"/>
    <w:rsid w:val="005C5675"/>
    <w:rsid w:val="005C6B1C"/>
    <w:rsid w:val="005D2323"/>
    <w:rsid w:val="005D52DD"/>
    <w:rsid w:val="005E1290"/>
    <w:rsid w:val="006064DD"/>
    <w:rsid w:val="006221F6"/>
    <w:rsid w:val="00624CD0"/>
    <w:rsid w:val="00671A44"/>
    <w:rsid w:val="00672915"/>
    <w:rsid w:val="006912CD"/>
    <w:rsid w:val="006A3C11"/>
    <w:rsid w:val="006B69B8"/>
    <w:rsid w:val="006C059D"/>
    <w:rsid w:val="006C2DDC"/>
    <w:rsid w:val="006C2ED1"/>
    <w:rsid w:val="006D4690"/>
    <w:rsid w:val="006E4F23"/>
    <w:rsid w:val="006E6E15"/>
    <w:rsid w:val="00737FE4"/>
    <w:rsid w:val="007429F0"/>
    <w:rsid w:val="00746589"/>
    <w:rsid w:val="00753CAA"/>
    <w:rsid w:val="00777554"/>
    <w:rsid w:val="00786FDC"/>
    <w:rsid w:val="007904FA"/>
    <w:rsid w:val="007A35F4"/>
    <w:rsid w:val="007A7A13"/>
    <w:rsid w:val="007C5F59"/>
    <w:rsid w:val="007D5B5D"/>
    <w:rsid w:val="007F57B8"/>
    <w:rsid w:val="007F61C8"/>
    <w:rsid w:val="00812347"/>
    <w:rsid w:val="00831658"/>
    <w:rsid w:val="00865916"/>
    <w:rsid w:val="0088170F"/>
    <w:rsid w:val="0088367A"/>
    <w:rsid w:val="00885B48"/>
    <w:rsid w:val="00893617"/>
    <w:rsid w:val="00894C08"/>
    <w:rsid w:val="00896C27"/>
    <w:rsid w:val="008C0467"/>
    <w:rsid w:val="008C6E96"/>
    <w:rsid w:val="008F5D19"/>
    <w:rsid w:val="008F6D0B"/>
    <w:rsid w:val="00933BC3"/>
    <w:rsid w:val="009353D4"/>
    <w:rsid w:val="0095759A"/>
    <w:rsid w:val="00961665"/>
    <w:rsid w:val="00965766"/>
    <w:rsid w:val="0096713C"/>
    <w:rsid w:val="00971FCE"/>
    <w:rsid w:val="00972359"/>
    <w:rsid w:val="00974FE2"/>
    <w:rsid w:val="0098446E"/>
    <w:rsid w:val="009A1CD1"/>
    <w:rsid w:val="009A6A31"/>
    <w:rsid w:val="009E3CD4"/>
    <w:rsid w:val="00A07813"/>
    <w:rsid w:val="00A13D76"/>
    <w:rsid w:val="00A1654B"/>
    <w:rsid w:val="00A275E8"/>
    <w:rsid w:val="00A30C03"/>
    <w:rsid w:val="00A55764"/>
    <w:rsid w:val="00A64E2F"/>
    <w:rsid w:val="00A73FFE"/>
    <w:rsid w:val="00A753EE"/>
    <w:rsid w:val="00A83CE2"/>
    <w:rsid w:val="00A92E1C"/>
    <w:rsid w:val="00AB3C29"/>
    <w:rsid w:val="00B4088C"/>
    <w:rsid w:val="00B61076"/>
    <w:rsid w:val="00B80461"/>
    <w:rsid w:val="00B91B74"/>
    <w:rsid w:val="00BA45C3"/>
    <w:rsid w:val="00BB3DDB"/>
    <w:rsid w:val="00BB6194"/>
    <w:rsid w:val="00BC1B04"/>
    <w:rsid w:val="00BD3923"/>
    <w:rsid w:val="00BD6326"/>
    <w:rsid w:val="00BE074E"/>
    <w:rsid w:val="00C03C9A"/>
    <w:rsid w:val="00C113AB"/>
    <w:rsid w:val="00C26E08"/>
    <w:rsid w:val="00C31DC2"/>
    <w:rsid w:val="00C5704F"/>
    <w:rsid w:val="00C66476"/>
    <w:rsid w:val="00C77381"/>
    <w:rsid w:val="00CA2C12"/>
    <w:rsid w:val="00CB39BA"/>
    <w:rsid w:val="00CE47E9"/>
    <w:rsid w:val="00CF0219"/>
    <w:rsid w:val="00CF1268"/>
    <w:rsid w:val="00CF1F50"/>
    <w:rsid w:val="00CF26E4"/>
    <w:rsid w:val="00D06779"/>
    <w:rsid w:val="00D40BEE"/>
    <w:rsid w:val="00D4703D"/>
    <w:rsid w:val="00D54905"/>
    <w:rsid w:val="00D656D9"/>
    <w:rsid w:val="00D65AB4"/>
    <w:rsid w:val="00D67E1E"/>
    <w:rsid w:val="00D71E3F"/>
    <w:rsid w:val="00D97C75"/>
    <w:rsid w:val="00D97E49"/>
    <w:rsid w:val="00DA48F7"/>
    <w:rsid w:val="00DA5ACB"/>
    <w:rsid w:val="00DC3471"/>
    <w:rsid w:val="00DD2D9C"/>
    <w:rsid w:val="00DF693F"/>
    <w:rsid w:val="00E0153C"/>
    <w:rsid w:val="00E03891"/>
    <w:rsid w:val="00E05C0A"/>
    <w:rsid w:val="00E20306"/>
    <w:rsid w:val="00E314E6"/>
    <w:rsid w:val="00E37873"/>
    <w:rsid w:val="00E61DF8"/>
    <w:rsid w:val="00E73336"/>
    <w:rsid w:val="00E84059"/>
    <w:rsid w:val="00E85FCC"/>
    <w:rsid w:val="00E9359D"/>
    <w:rsid w:val="00E9400D"/>
    <w:rsid w:val="00EA4CBF"/>
    <w:rsid w:val="00EC0643"/>
    <w:rsid w:val="00EC1202"/>
    <w:rsid w:val="00EC3F12"/>
    <w:rsid w:val="00EC7142"/>
    <w:rsid w:val="00ED0833"/>
    <w:rsid w:val="00EE4EFA"/>
    <w:rsid w:val="00EE557F"/>
    <w:rsid w:val="00EF00DD"/>
    <w:rsid w:val="00F5129E"/>
    <w:rsid w:val="00F513E2"/>
    <w:rsid w:val="00F52FF0"/>
    <w:rsid w:val="00F544CD"/>
    <w:rsid w:val="00F75ACA"/>
    <w:rsid w:val="00F9393E"/>
    <w:rsid w:val="00F961E4"/>
    <w:rsid w:val="00FA36B9"/>
    <w:rsid w:val="00FA3818"/>
    <w:rsid w:val="00FB55F0"/>
    <w:rsid w:val="00FD2FE2"/>
    <w:rsid w:val="01004455"/>
    <w:rsid w:val="011303B2"/>
    <w:rsid w:val="016D0C2D"/>
    <w:rsid w:val="017408E9"/>
    <w:rsid w:val="01965E40"/>
    <w:rsid w:val="01A04715"/>
    <w:rsid w:val="01A051D9"/>
    <w:rsid w:val="01C22139"/>
    <w:rsid w:val="01CF094C"/>
    <w:rsid w:val="01D77717"/>
    <w:rsid w:val="01DA1469"/>
    <w:rsid w:val="01DF4AC1"/>
    <w:rsid w:val="01F64AD3"/>
    <w:rsid w:val="01FC3974"/>
    <w:rsid w:val="02060CBF"/>
    <w:rsid w:val="02182C5B"/>
    <w:rsid w:val="021A50CB"/>
    <w:rsid w:val="022720AC"/>
    <w:rsid w:val="022943AE"/>
    <w:rsid w:val="022C7E0C"/>
    <w:rsid w:val="02310DAE"/>
    <w:rsid w:val="02395DED"/>
    <w:rsid w:val="02450431"/>
    <w:rsid w:val="024E1DCF"/>
    <w:rsid w:val="02552A2D"/>
    <w:rsid w:val="0264355A"/>
    <w:rsid w:val="026B688E"/>
    <w:rsid w:val="02867FD6"/>
    <w:rsid w:val="02A02D73"/>
    <w:rsid w:val="02A54124"/>
    <w:rsid w:val="02B64DF9"/>
    <w:rsid w:val="02C37C70"/>
    <w:rsid w:val="02D63DD3"/>
    <w:rsid w:val="02E652FE"/>
    <w:rsid w:val="02F312C2"/>
    <w:rsid w:val="02FA00C5"/>
    <w:rsid w:val="02FE5485"/>
    <w:rsid w:val="030B2DA4"/>
    <w:rsid w:val="03396D19"/>
    <w:rsid w:val="03597453"/>
    <w:rsid w:val="0364475F"/>
    <w:rsid w:val="036E6829"/>
    <w:rsid w:val="03743E96"/>
    <w:rsid w:val="03882791"/>
    <w:rsid w:val="038C3754"/>
    <w:rsid w:val="039A2944"/>
    <w:rsid w:val="03C47D10"/>
    <w:rsid w:val="03CB7016"/>
    <w:rsid w:val="03EF659D"/>
    <w:rsid w:val="03F13ED7"/>
    <w:rsid w:val="04196E91"/>
    <w:rsid w:val="04205AE7"/>
    <w:rsid w:val="04342970"/>
    <w:rsid w:val="04366869"/>
    <w:rsid w:val="04452A96"/>
    <w:rsid w:val="04503410"/>
    <w:rsid w:val="0452733B"/>
    <w:rsid w:val="045E0382"/>
    <w:rsid w:val="0487251F"/>
    <w:rsid w:val="048A3080"/>
    <w:rsid w:val="048F5F5F"/>
    <w:rsid w:val="04997772"/>
    <w:rsid w:val="049F2530"/>
    <w:rsid w:val="04A42FF4"/>
    <w:rsid w:val="04BC76AB"/>
    <w:rsid w:val="04C51DA5"/>
    <w:rsid w:val="04DA5CBD"/>
    <w:rsid w:val="04DC053C"/>
    <w:rsid w:val="04FB493B"/>
    <w:rsid w:val="050E66DA"/>
    <w:rsid w:val="05267951"/>
    <w:rsid w:val="052B6A82"/>
    <w:rsid w:val="055A6732"/>
    <w:rsid w:val="05740488"/>
    <w:rsid w:val="057B5CA5"/>
    <w:rsid w:val="058D6B19"/>
    <w:rsid w:val="05945CD4"/>
    <w:rsid w:val="05993E2C"/>
    <w:rsid w:val="05BD187F"/>
    <w:rsid w:val="05C36CBD"/>
    <w:rsid w:val="05EE1490"/>
    <w:rsid w:val="05F10BE9"/>
    <w:rsid w:val="05F93098"/>
    <w:rsid w:val="05FE0613"/>
    <w:rsid w:val="06057139"/>
    <w:rsid w:val="061D0A81"/>
    <w:rsid w:val="06247D29"/>
    <w:rsid w:val="0629752D"/>
    <w:rsid w:val="06312259"/>
    <w:rsid w:val="064667DE"/>
    <w:rsid w:val="06571A9D"/>
    <w:rsid w:val="06602182"/>
    <w:rsid w:val="067F1619"/>
    <w:rsid w:val="06971801"/>
    <w:rsid w:val="06A651A1"/>
    <w:rsid w:val="06C43E10"/>
    <w:rsid w:val="06DE007A"/>
    <w:rsid w:val="06EB454A"/>
    <w:rsid w:val="06EC2E88"/>
    <w:rsid w:val="070F6CAA"/>
    <w:rsid w:val="07104140"/>
    <w:rsid w:val="07136660"/>
    <w:rsid w:val="071B0F68"/>
    <w:rsid w:val="072A195A"/>
    <w:rsid w:val="072C003C"/>
    <w:rsid w:val="07344528"/>
    <w:rsid w:val="073E71D3"/>
    <w:rsid w:val="07415C61"/>
    <w:rsid w:val="076F6620"/>
    <w:rsid w:val="077B0F9E"/>
    <w:rsid w:val="07813DA3"/>
    <w:rsid w:val="078626EE"/>
    <w:rsid w:val="0787197C"/>
    <w:rsid w:val="079000FD"/>
    <w:rsid w:val="07A71693"/>
    <w:rsid w:val="07AD31FF"/>
    <w:rsid w:val="07AF2D15"/>
    <w:rsid w:val="07C77E2D"/>
    <w:rsid w:val="07CA69EF"/>
    <w:rsid w:val="07E367E2"/>
    <w:rsid w:val="07EC2EB8"/>
    <w:rsid w:val="07EF5B2B"/>
    <w:rsid w:val="07F1100D"/>
    <w:rsid w:val="08035434"/>
    <w:rsid w:val="080E4AC9"/>
    <w:rsid w:val="08105E49"/>
    <w:rsid w:val="08243FCA"/>
    <w:rsid w:val="082764FF"/>
    <w:rsid w:val="08316365"/>
    <w:rsid w:val="08482FA0"/>
    <w:rsid w:val="08552149"/>
    <w:rsid w:val="08673B10"/>
    <w:rsid w:val="087A7413"/>
    <w:rsid w:val="08815DFF"/>
    <w:rsid w:val="088E3476"/>
    <w:rsid w:val="08940A4B"/>
    <w:rsid w:val="08B24F20"/>
    <w:rsid w:val="08B27BC9"/>
    <w:rsid w:val="08B853C3"/>
    <w:rsid w:val="08C50956"/>
    <w:rsid w:val="08C66991"/>
    <w:rsid w:val="08CB24A4"/>
    <w:rsid w:val="08E04FE9"/>
    <w:rsid w:val="08E62372"/>
    <w:rsid w:val="08F20CDF"/>
    <w:rsid w:val="08F820C4"/>
    <w:rsid w:val="09002140"/>
    <w:rsid w:val="09060780"/>
    <w:rsid w:val="090B1D76"/>
    <w:rsid w:val="09117DF7"/>
    <w:rsid w:val="091A0931"/>
    <w:rsid w:val="09261A21"/>
    <w:rsid w:val="09345A27"/>
    <w:rsid w:val="09471101"/>
    <w:rsid w:val="095015BF"/>
    <w:rsid w:val="095575C1"/>
    <w:rsid w:val="09586626"/>
    <w:rsid w:val="09635F89"/>
    <w:rsid w:val="096A76EC"/>
    <w:rsid w:val="097120A9"/>
    <w:rsid w:val="09763E29"/>
    <w:rsid w:val="09765724"/>
    <w:rsid w:val="09777481"/>
    <w:rsid w:val="097A223C"/>
    <w:rsid w:val="09956689"/>
    <w:rsid w:val="099E587A"/>
    <w:rsid w:val="09AE73AD"/>
    <w:rsid w:val="09B221C3"/>
    <w:rsid w:val="09BB4427"/>
    <w:rsid w:val="09C923A6"/>
    <w:rsid w:val="09CD724A"/>
    <w:rsid w:val="09D73B98"/>
    <w:rsid w:val="09D9548E"/>
    <w:rsid w:val="09DD0C14"/>
    <w:rsid w:val="0A21702A"/>
    <w:rsid w:val="0A22666D"/>
    <w:rsid w:val="0A3875B2"/>
    <w:rsid w:val="0A3B11D7"/>
    <w:rsid w:val="0A5717B3"/>
    <w:rsid w:val="0A64039C"/>
    <w:rsid w:val="0A640D8B"/>
    <w:rsid w:val="0A715652"/>
    <w:rsid w:val="0A9C1107"/>
    <w:rsid w:val="0AA30C20"/>
    <w:rsid w:val="0AA4168E"/>
    <w:rsid w:val="0AB91CD0"/>
    <w:rsid w:val="0AB97C6E"/>
    <w:rsid w:val="0AC9653A"/>
    <w:rsid w:val="0ACC1011"/>
    <w:rsid w:val="0AD60F7A"/>
    <w:rsid w:val="0AD72D9B"/>
    <w:rsid w:val="0AE43563"/>
    <w:rsid w:val="0AFC2334"/>
    <w:rsid w:val="0B0F179D"/>
    <w:rsid w:val="0B0F3F29"/>
    <w:rsid w:val="0B100DF6"/>
    <w:rsid w:val="0B2860F2"/>
    <w:rsid w:val="0B3F5ED1"/>
    <w:rsid w:val="0B584514"/>
    <w:rsid w:val="0B63051C"/>
    <w:rsid w:val="0B642A72"/>
    <w:rsid w:val="0B6F2CBA"/>
    <w:rsid w:val="0B7C418C"/>
    <w:rsid w:val="0B7E3C64"/>
    <w:rsid w:val="0B8A1455"/>
    <w:rsid w:val="0B90146F"/>
    <w:rsid w:val="0B9E21B4"/>
    <w:rsid w:val="0B9F77E0"/>
    <w:rsid w:val="0BA045D1"/>
    <w:rsid w:val="0BA650B1"/>
    <w:rsid w:val="0BA80A58"/>
    <w:rsid w:val="0BB14A04"/>
    <w:rsid w:val="0BBC5FC0"/>
    <w:rsid w:val="0BCB2DC9"/>
    <w:rsid w:val="0BCC6B0A"/>
    <w:rsid w:val="0BCD12BD"/>
    <w:rsid w:val="0BCF3D23"/>
    <w:rsid w:val="0BE2642C"/>
    <w:rsid w:val="0BE507DE"/>
    <w:rsid w:val="0BEE0B7F"/>
    <w:rsid w:val="0C0E4878"/>
    <w:rsid w:val="0C180A28"/>
    <w:rsid w:val="0C1A63B9"/>
    <w:rsid w:val="0C202D3B"/>
    <w:rsid w:val="0C20771D"/>
    <w:rsid w:val="0C2272E9"/>
    <w:rsid w:val="0C2F310F"/>
    <w:rsid w:val="0C784F9C"/>
    <w:rsid w:val="0C7D6033"/>
    <w:rsid w:val="0C9A296F"/>
    <w:rsid w:val="0CA95AC2"/>
    <w:rsid w:val="0CAE2D56"/>
    <w:rsid w:val="0CC05437"/>
    <w:rsid w:val="0CDB5B6E"/>
    <w:rsid w:val="0D0A0FA4"/>
    <w:rsid w:val="0D1A09E2"/>
    <w:rsid w:val="0D1F14CC"/>
    <w:rsid w:val="0D212388"/>
    <w:rsid w:val="0D337003"/>
    <w:rsid w:val="0D3534DE"/>
    <w:rsid w:val="0D4362B0"/>
    <w:rsid w:val="0D476C79"/>
    <w:rsid w:val="0D484639"/>
    <w:rsid w:val="0D544D6B"/>
    <w:rsid w:val="0D605E57"/>
    <w:rsid w:val="0D720190"/>
    <w:rsid w:val="0D80254C"/>
    <w:rsid w:val="0DB44C2A"/>
    <w:rsid w:val="0DB92A49"/>
    <w:rsid w:val="0DBB0341"/>
    <w:rsid w:val="0DC46B60"/>
    <w:rsid w:val="0DD51E6A"/>
    <w:rsid w:val="0DE1712D"/>
    <w:rsid w:val="0DFD5D1D"/>
    <w:rsid w:val="0E033136"/>
    <w:rsid w:val="0E0F1DD6"/>
    <w:rsid w:val="0E1C6079"/>
    <w:rsid w:val="0E2829FF"/>
    <w:rsid w:val="0E2901E2"/>
    <w:rsid w:val="0E2C20B8"/>
    <w:rsid w:val="0E317EAF"/>
    <w:rsid w:val="0E3C7109"/>
    <w:rsid w:val="0E4C0AEB"/>
    <w:rsid w:val="0E5B40CC"/>
    <w:rsid w:val="0E5B5209"/>
    <w:rsid w:val="0E611530"/>
    <w:rsid w:val="0E620E6F"/>
    <w:rsid w:val="0E695D98"/>
    <w:rsid w:val="0E711F26"/>
    <w:rsid w:val="0E804081"/>
    <w:rsid w:val="0E8F0B93"/>
    <w:rsid w:val="0E9737FF"/>
    <w:rsid w:val="0EA84B74"/>
    <w:rsid w:val="0EA92E2D"/>
    <w:rsid w:val="0EAC57E4"/>
    <w:rsid w:val="0EDA79CC"/>
    <w:rsid w:val="0EDF197B"/>
    <w:rsid w:val="0EDF3B8D"/>
    <w:rsid w:val="0EDF4B6B"/>
    <w:rsid w:val="0EF54F99"/>
    <w:rsid w:val="0F050ECC"/>
    <w:rsid w:val="0F106DCE"/>
    <w:rsid w:val="0F233A26"/>
    <w:rsid w:val="0F420F46"/>
    <w:rsid w:val="0F701936"/>
    <w:rsid w:val="0F9151D6"/>
    <w:rsid w:val="0F9555CE"/>
    <w:rsid w:val="0F965A43"/>
    <w:rsid w:val="0F9A35EC"/>
    <w:rsid w:val="0F9D2435"/>
    <w:rsid w:val="0FBC4C5E"/>
    <w:rsid w:val="0FCC638D"/>
    <w:rsid w:val="0FD45181"/>
    <w:rsid w:val="0FD7698F"/>
    <w:rsid w:val="0FD77B29"/>
    <w:rsid w:val="10122489"/>
    <w:rsid w:val="10277CEB"/>
    <w:rsid w:val="103160AA"/>
    <w:rsid w:val="10391012"/>
    <w:rsid w:val="104C22B6"/>
    <w:rsid w:val="10722DAF"/>
    <w:rsid w:val="10774E95"/>
    <w:rsid w:val="109605D6"/>
    <w:rsid w:val="1097383A"/>
    <w:rsid w:val="109A1C03"/>
    <w:rsid w:val="109E4E83"/>
    <w:rsid w:val="10B81DBD"/>
    <w:rsid w:val="10D44098"/>
    <w:rsid w:val="10DD2466"/>
    <w:rsid w:val="10F35770"/>
    <w:rsid w:val="111D1516"/>
    <w:rsid w:val="111E68A3"/>
    <w:rsid w:val="112827B8"/>
    <w:rsid w:val="11296087"/>
    <w:rsid w:val="113C45C8"/>
    <w:rsid w:val="114261C4"/>
    <w:rsid w:val="11533400"/>
    <w:rsid w:val="11586663"/>
    <w:rsid w:val="117D7A19"/>
    <w:rsid w:val="118660A8"/>
    <w:rsid w:val="11B95EE9"/>
    <w:rsid w:val="11BA7B76"/>
    <w:rsid w:val="11D10EC7"/>
    <w:rsid w:val="11D23C13"/>
    <w:rsid w:val="11D6355F"/>
    <w:rsid w:val="11ED5F9D"/>
    <w:rsid w:val="11EE2655"/>
    <w:rsid w:val="12042011"/>
    <w:rsid w:val="1215315E"/>
    <w:rsid w:val="121D25C6"/>
    <w:rsid w:val="1223512F"/>
    <w:rsid w:val="122B0E6D"/>
    <w:rsid w:val="122E7FC1"/>
    <w:rsid w:val="123273AD"/>
    <w:rsid w:val="12364EF8"/>
    <w:rsid w:val="124F7616"/>
    <w:rsid w:val="12532555"/>
    <w:rsid w:val="125D3652"/>
    <w:rsid w:val="126B0C03"/>
    <w:rsid w:val="12763528"/>
    <w:rsid w:val="127C62F7"/>
    <w:rsid w:val="12887B42"/>
    <w:rsid w:val="12921858"/>
    <w:rsid w:val="129F2EDE"/>
    <w:rsid w:val="12A432CA"/>
    <w:rsid w:val="12AD5D9D"/>
    <w:rsid w:val="12C65211"/>
    <w:rsid w:val="12CD6372"/>
    <w:rsid w:val="12D15F65"/>
    <w:rsid w:val="12D17411"/>
    <w:rsid w:val="12F26C09"/>
    <w:rsid w:val="13182EBB"/>
    <w:rsid w:val="131E5740"/>
    <w:rsid w:val="132953A0"/>
    <w:rsid w:val="133D49B3"/>
    <w:rsid w:val="13474287"/>
    <w:rsid w:val="134819DA"/>
    <w:rsid w:val="13496180"/>
    <w:rsid w:val="134F480F"/>
    <w:rsid w:val="13532D86"/>
    <w:rsid w:val="136C0EDE"/>
    <w:rsid w:val="136F6D9D"/>
    <w:rsid w:val="138D5992"/>
    <w:rsid w:val="13974200"/>
    <w:rsid w:val="13B21DBC"/>
    <w:rsid w:val="13B635D1"/>
    <w:rsid w:val="13B86715"/>
    <w:rsid w:val="13C034F1"/>
    <w:rsid w:val="13D03D09"/>
    <w:rsid w:val="13D31258"/>
    <w:rsid w:val="13E67EF7"/>
    <w:rsid w:val="13E70038"/>
    <w:rsid w:val="13E82D69"/>
    <w:rsid w:val="13ED0A31"/>
    <w:rsid w:val="13EF5C4D"/>
    <w:rsid w:val="13F12B4C"/>
    <w:rsid w:val="13F7463F"/>
    <w:rsid w:val="13FC01E0"/>
    <w:rsid w:val="14101BC1"/>
    <w:rsid w:val="1424326B"/>
    <w:rsid w:val="14513C64"/>
    <w:rsid w:val="145D2610"/>
    <w:rsid w:val="14670DBB"/>
    <w:rsid w:val="14854491"/>
    <w:rsid w:val="14A075B9"/>
    <w:rsid w:val="14AF5124"/>
    <w:rsid w:val="14AF530F"/>
    <w:rsid w:val="14B049B9"/>
    <w:rsid w:val="14B63BF2"/>
    <w:rsid w:val="14B75C8C"/>
    <w:rsid w:val="14C55FA8"/>
    <w:rsid w:val="14D57375"/>
    <w:rsid w:val="14DF076F"/>
    <w:rsid w:val="14F3502A"/>
    <w:rsid w:val="150269B2"/>
    <w:rsid w:val="15175B1C"/>
    <w:rsid w:val="151D4A07"/>
    <w:rsid w:val="1521426C"/>
    <w:rsid w:val="152C6EDD"/>
    <w:rsid w:val="15326C3F"/>
    <w:rsid w:val="15414D79"/>
    <w:rsid w:val="15477D61"/>
    <w:rsid w:val="154D0FC5"/>
    <w:rsid w:val="15516F7D"/>
    <w:rsid w:val="155778FA"/>
    <w:rsid w:val="155A2BFA"/>
    <w:rsid w:val="155F73A9"/>
    <w:rsid w:val="15732EB6"/>
    <w:rsid w:val="15795656"/>
    <w:rsid w:val="15871B5B"/>
    <w:rsid w:val="15A93B9D"/>
    <w:rsid w:val="15BF3C5F"/>
    <w:rsid w:val="15C75552"/>
    <w:rsid w:val="15D87245"/>
    <w:rsid w:val="15E71640"/>
    <w:rsid w:val="15EB5988"/>
    <w:rsid w:val="160D39F0"/>
    <w:rsid w:val="16124605"/>
    <w:rsid w:val="16127A60"/>
    <w:rsid w:val="161C7AE8"/>
    <w:rsid w:val="1620592E"/>
    <w:rsid w:val="16384044"/>
    <w:rsid w:val="16596164"/>
    <w:rsid w:val="1662381C"/>
    <w:rsid w:val="166E70DF"/>
    <w:rsid w:val="16712B89"/>
    <w:rsid w:val="1677290A"/>
    <w:rsid w:val="16792AB3"/>
    <w:rsid w:val="16822DE6"/>
    <w:rsid w:val="168D766D"/>
    <w:rsid w:val="169B3BDD"/>
    <w:rsid w:val="16B03D52"/>
    <w:rsid w:val="16BC2311"/>
    <w:rsid w:val="16FD61F1"/>
    <w:rsid w:val="1703039E"/>
    <w:rsid w:val="17152AC5"/>
    <w:rsid w:val="17153C67"/>
    <w:rsid w:val="171707F9"/>
    <w:rsid w:val="171D59FB"/>
    <w:rsid w:val="171E720D"/>
    <w:rsid w:val="173B624D"/>
    <w:rsid w:val="17477C63"/>
    <w:rsid w:val="176B448B"/>
    <w:rsid w:val="178B7E84"/>
    <w:rsid w:val="17A834FB"/>
    <w:rsid w:val="17AC75E3"/>
    <w:rsid w:val="17D41908"/>
    <w:rsid w:val="17D5222C"/>
    <w:rsid w:val="17D92169"/>
    <w:rsid w:val="17E06206"/>
    <w:rsid w:val="17F11041"/>
    <w:rsid w:val="17F9498D"/>
    <w:rsid w:val="181A0F90"/>
    <w:rsid w:val="1821506D"/>
    <w:rsid w:val="18223636"/>
    <w:rsid w:val="183129DC"/>
    <w:rsid w:val="1840256D"/>
    <w:rsid w:val="184D04AD"/>
    <w:rsid w:val="184F23FD"/>
    <w:rsid w:val="18597D9D"/>
    <w:rsid w:val="185D0BDD"/>
    <w:rsid w:val="1862371B"/>
    <w:rsid w:val="186910E1"/>
    <w:rsid w:val="18714FA6"/>
    <w:rsid w:val="18745367"/>
    <w:rsid w:val="187739C7"/>
    <w:rsid w:val="18900A87"/>
    <w:rsid w:val="18922D59"/>
    <w:rsid w:val="18931B1F"/>
    <w:rsid w:val="18AB1DAB"/>
    <w:rsid w:val="18B2279E"/>
    <w:rsid w:val="18C33C90"/>
    <w:rsid w:val="18C52CFD"/>
    <w:rsid w:val="18C7295E"/>
    <w:rsid w:val="18D33704"/>
    <w:rsid w:val="18FD17C5"/>
    <w:rsid w:val="190023F3"/>
    <w:rsid w:val="19066801"/>
    <w:rsid w:val="190A7F36"/>
    <w:rsid w:val="19252F59"/>
    <w:rsid w:val="19253A3A"/>
    <w:rsid w:val="193118C7"/>
    <w:rsid w:val="19446F0A"/>
    <w:rsid w:val="19517489"/>
    <w:rsid w:val="1966579D"/>
    <w:rsid w:val="1999381D"/>
    <w:rsid w:val="199C188A"/>
    <w:rsid w:val="199E7FE2"/>
    <w:rsid w:val="19A35B13"/>
    <w:rsid w:val="19AA03AD"/>
    <w:rsid w:val="19B0762B"/>
    <w:rsid w:val="19B13D7F"/>
    <w:rsid w:val="19B252E0"/>
    <w:rsid w:val="19C06441"/>
    <w:rsid w:val="19C2723F"/>
    <w:rsid w:val="19C71BEB"/>
    <w:rsid w:val="19E25909"/>
    <w:rsid w:val="19E65E10"/>
    <w:rsid w:val="19E958EB"/>
    <w:rsid w:val="1A28021E"/>
    <w:rsid w:val="1A3B6263"/>
    <w:rsid w:val="1A42300D"/>
    <w:rsid w:val="1A5E5CAC"/>
    <w:rsid w:val="1A6C7CF8"/>
    <w:rsid w:val="1A701B54"/>
    <w:rsid w:val="1A7728C5"/>
    <w:rsid w:val="1A7A5B8C"/>
    <w:rsid w:val="1A7C533E"/>
    <w:rsid w:val="1A826013"/>
    <w:rsid w:val="1A8767F2"/>
    <w:rsid w:val="1A9F773E"/>
    <w:rsid w:val="1AA10C14"/>
    <w:rsid w:val="1AD12EC0"/>
    <w:rsid w:val="1AD55B2E"/>
    <w:rsid w:val="1ADE5303"/>
    <w:rsid w:val="1AEA7E60"/>
    <w:rsid w:val="1B0F7413"/>
    <w:rsid w:val="1B124B12"/>
    <w:rsid w:val="1B241F74"/>
    <w:rsid w:val="1B312C0F"/>
    <w:rsid w:val="1B3D439E"/>
    <w:rsid w:val="1B4B5389"/>
    <w:rsid w:val="1B7429BE"/>
    <w:rsid w:val="1B7B57AA"/>
    <w:rsid w:val="1B857CC0"/>
    <w:rsid w:val="1B895A21"/>
    <w:rsid w:val="1B973456"/>
    <w:rsid w:val="1BA4544B"/>
    <w:rsid w:val="1BB87B23"/>
    <w:rsid w:val="1BC567A8"/>
    <w:rsid w:val="1BC64161"/>
    <w:rsid w:val="1BD21E85"/>
    <w:rsid w:val="1BDB2AF7"/>
    <w:rsid w:val="1BE220BC"/>
    <w:rsid w:val="1BE65A0B"/>
    <w:rsid w:val="1BEB7504"/>
    <w:rsid w:val="1C0A42C2"/>
    <w:rsid w:val="1C1E6F38"/>
    <w:rsid w:val="1C257C47"/>
    <w:rsid w:val="1C3345BF"/>
    <w:rsid w:val="1C437711"/>
    <w:rsid w:val="1C557926"/>
    <w:rsid w:val="1C57797B"/>
    <w:rsid w:val="1C7924F2"/>
    <w:rsid w:val="1C7E3C93"/>
    <w:rsid w:val="1C92648F"/>
    <w:rsid w:val="1CA237C9"/>
    <w:rsid w:val="1CA5596A"/>
    <w:rsid w:val="1CAA2649"/>
    <w:rsid w:val="1CFD668B"/>
    <w:rsid w:val="1D1216B5"/>
    <w:rsid w:val="1D122745"/>
    <w:rsid w:val="1D131CB3"/>
    <w:rsid w:val="1D206B87"/>
    <w:rsid w:val="1D2A1008"/>
    <w:rsid w:val="1D2A7469"/>
    <w:rsid w:val="1D417DAD"/>
    <w:rsid w:val="1D4F34A4"/>
    <w:rsid w:val="1D92105F"/>
    <w:rsid w:val="1D9268B0"/>
    <w:rsid w:val="1DA84C8A"/>
    <w:rsid w:val="1DAE6EDD"/>
    <w:rsid w:val="1DBD4A5E"/>
    <w:rsid w:val="1DBF4EC5"/>
    <w:rsid w:val="1DCE63BA"/>
    <w:rsid w:val="1DDD1E58"/>
    <w:rsid w:val="1DFA1765"/>
    <w:rsid w:val="1E023E05"/>
    <w:rsid w:val="1E0B013D"/>
    <w:rsid w:val="1E15501E"/>
    <w:rsid w:val="1E18047E"/>
    <w:rsid w:val="1E1E1A0C"/>
    <w:rsid w:val="1E2B1F2F"/>
    <w:rsid w:val="1E2B2EFF"/>
    <w:rsid w:val="1E350DF1"/>
    <w:rsid w:val="1E3A317B"/>
    <w:rsid w:val="1E480546"/>
    <w:rsid w:val="1E4C729F"/>
    <w:rsid w:val="1E591903"/>
    <w:rsid w:val="1E5A2005"/>
    <w:rsid w:val="1E6D166B"/>
    <w:rsid w:val="1E837011"/>
    <w:rsid w:val="1E842B8B"/>
    <w:rsid w:val="1E895DF4"/>
    <w:rsid w:val="1E8C7CDE"/>
    <w:rsid w:val="1E8F0DDB"/>
    <w:rsid w:val="1E9161D0"/>
    <w:rsid w:val="1E9F4F12"/>
    <w:rsid w:val="1EA32C4C"/>
    <w:rsid w:val="1EAB7772"/>
    <w:rsid w:val="1ED9437B"/>
    <w:rsid w:val="1EE41E3E"/>
    <w:rsid w:val="1EE56CB7"/>
    <w:rsid w:val="1EF2301C"/>
    <w:rsid w:val="1F0B04B9"/>
    <w:rsid w:val="1F152B6C"/>
    <w:rsid w:val="1F342C82"/>
    <w:rsid w:val="1F4C5DCD"/>
    <w:rsid w:val="1F570F83"/>
    <w:rsid w:val="1F5E56F5"/>
    <w:rsid w:val="1F7707A9"/>
    <w:rsid w:val="1F7B0059"/>
    <w:rsid w:val="1F9E6B18"/>
    <w:rsid w:val="1FA410B0"/>
    <w:rsid w:val="1FCA2525"/>
    <w:rsid w:val="1FCA3EFE"/>
    <w:rsid w:val="1FCC63B7"/>
    <w:rsid w:val="1FD958F0"/>
    <w:rsid w:val="1FE32B80"/>
    <w:rsid w:val="1FF37689"/>
    <w:rsid w:val="200438C5"/>
    <w:rsid w:val="20170460"/>
    <w:rsid w:val="20173A30"/>
    <w:rsid w:val="201F01F3"/>
    <w:rsid w:val="201F49FC"/>
    <w:rsid w:val="201F72E3"/>
    <w:rsid w:val="20243D20"/>
    <w:rsid w:val="202B34F3"/>
    <w:rsid w:val="20337CA1"/>
    <w:rsid w:val="20480BB1"/>
    <w:rsid w:val="206301BC"/>
    <w:rsid w:val="20655924"/>
    <w:rsid w:val="208D4A1B"/>
    <w:rsid w:val="208E6699"/>
    <w:rsid w:val="20912CE3"/>
    <w:rsid w:val="209D5497"/>
    <w:rsid w:val="209E2A57"/>
    <w:rsid w:val="20CA2A55"/>
    <w:rsid w:val="20CF18FF"/>
    <w:rsid w:val="20ED50F1"/>
    <w:rsid w:val="20F116E3"/>
    <w:rsid w:val="20F97C10"/>
    <w:rsid w:val="20FD2D5C"/>
    <w:rsid w:val="21012B08"/>
    <w:rsid w:val="21037730"/>
    <w:rsid w:val="210C3065"/>
    <w:rsid w:val="210E1BCC"/>
    <w:rsid w:val="211942A0"/>
    <w:rsid w:val="21243F84"/>
    <w:rsid w:val="2129289A"/>
    <w:rsid w:val="213C2DC2"/>
    <w:rsid w:val="21485C63"/>
    <w:rsid w:val="215876C9"/>
    <w:rsid w:val="215969D2"/>
    <w:rsid w:val="21893E0A"/>
    <w:rsid w:val="218E12AD"/>
    <w:rsid w:val="21983FB3"/>
    <w:rsid w:val="21A318F9"/>
    <w:rsid w:val="21B4008C"/>
    <w:rsid w:val="21D45E42"/>
    <w:rsid w:val="21EA79F8"/>
    <w:rsid w:val="21F44B73"/>
    <w:rsid w:val="21F601FD"/>
    <w:rsid w:val="22030C5E"/>
    <w:rsid w:val="22100026"/>
    <w:rsid w:val="22244E70"/>
    <w:rsid w:val="22290192"/>
    <w:rsid w:val="22367BAE"/>
    <w:rsid w:val="22395C35"/>
    <w:rsid w:val="22463DD9"/>
    <w:rsid w:val="22595596"/>
    <w:rsid w:val="22631793"/>
    <w:rsid w:val="226747C7"/>
    <w:rsid w:val="22720831"/>
    <w:rsid w:val="22815068"/>
    <w:rsid w:val="22841EF6"/>
    <w:rsid w:val="2288532F"/>
    <w:rsid w:val="228E5BB4"/>
    <w:rsid w:val="22A1296C"/>
    <w:rsid w:val="22B04C0A"/>
    <w:rsid w:val="22B25D18"/>
    <w:rsid w:val="22BA42DE"/>
    <w:rsid w:val="22D25660"/>
    <w:rsid w:val="22EF20A1"/>
    <w:rsid w:val="23085BBA"/>
    <w:rsid w:val="230D0257"/>
    <w:rsid w:val="23172F8D"/>
    <w:rsid w:val="23380E48"/>
    <w:rsid w:val="234B74BA"/>
    <w:rsid w:val="234C65EC"/>
    <w:rsid w:val="234F7903"/>
    <w:rsid w:val="23783128"/>
    <w:rsid w:val="23932B39"/>
    <w:rsid w:val="23A624D1"/>
    <w:rsid w:val="23C66A22"/>
    <w:rsid w:val="23CB31A5"/>
    <w:rsid w:val="23F54DF2"/>
    <w:rsid w:val="24077735"/>
    <w:rsid w:val="240E4B3C"/>
    <w:rsid w:val="242135A3"/>
    <w:rsid w:val="24231BCE"/>
    <w:rsid w:val="242A6223"/>
    <w:rsid w:val="242C276E"/>
    <w:rsid w:val="242E48E0"/>
    <w:rsid w:val="243566EC"/>
    <w:rsid w:val="24362504"/>
    <w:rsid w:val="244A68B6"/>
    <w:rsid w:val="24676652"/>
    <w:rsid w:val="24802CA7"/>
    <w:rsid w:val="24A20398"/>
    <w:rsid w:val="24A5261A"/>
    <w:rsid w:val="24A87E1C"/>
    <w:rsid w:val="24B5135B"/>
    <w:rsid w:val="24B72ECD"/>
    <w:rsid w:val="24CE4007"/>
    <w:rsid w:val="24D0068E"/>
    <w:rsid w:val="24DF0C7B"/>
    <w:rsid w:val="24E3657D"/>
    <w:rsid w:val="24F24C23"/>
    <w:rsid w:val="24FE3807"/>
    <w:rsid w:val="25165C71"/>
    <w:rsid w:val="251955C1"/>
    <w:rsid w:val="25223CF8"/>
    <w:rsid w:val="25341E30"/>
    <w:rsid w:val="253562BC"/>
    <w:rsid w:val="25476823"/>
    <w:rsid w:val="25567D6C"/>
    <w:rsid w:val="2557159E"/>
    <w:rsid w:val="255A048C"/>
    <w:rsid w:val="2569328E"/>
    <w:rsid w:val="25982AA4"/>
    <w:rsid w:val="259C4B82"/>
    <w:rsid w:val="25A05BB3"/>
    <w:rsid w:val="25B42C50"/>
    <w:rsid w:val="25C453EE"/>
    <w:rsid w:val="25E14968"/>
    <w:rsid w:val="25EA529E"/>
    <w:rsid w:val="264822D2"/>
    <w:rsid w:val="2654397B"/>
    <w:rsid w:val="26553D60"/>
    <w:rsid w:val="266004DB"/>
    <w:rsid w:val="26622B2A"/>
    <w:rsid w:val="267979DB"/>
    <w:rsid w:val="267D792E"/>
    <w:rsid w:val="267F5240"/>
    <w:rsid w:val="26821473"/>
    <w:rsid w:val="26842E58"/>
    <w:rsid w:val="26CD4C89"/>
    <w:rsid w:val="26DA3252"/>
    <w:rsid w:val="26F74536"/>
    <w:rsid w:val="27186210"/>
    <w:rsid w:val="271B5849"/>
    <w:rsid w:val="271E6697"/>
    <w:rsid w:val="272D7B5A"/>
    <w:rsid w:val="273909C1"/>
    <w:rsid w:val="273C2DB5"/>
    <w:rsid w:val="27551865"/>
    <w:rsid w:val="27594EB8"/>
    <w:rsid w:val="275B7880"/>
    <w:rsid w:val="27626DD6"/>
    <w:rsid w:val="27652278"/>
    <w:rsid w:val="277430B5"/>
    <w:rsid w:val="27781827"/>
    <w:rsid w:val="2779543D"/>
    <w:rsid w:val="278F0C18"/>
    <w:rsid w:val="27AB572D"/>
    <w:rsid w:val="27B8481D"/>
    <w:rsid w:val="27C66561"/>
    <w:rsid w:val="27D80A36"/>
    <w:rsid w:val="27E35DFD"/>
    <w:rsid w:val="27F771D7"/>
    <w:rsid w:val="27F94B32"/>
    <w:rsid w:val="28232B50"/>
    <w:rsid w:val="282768AA"/>
    <w:rsid w:val="282A17E8"/>
    <w:rsid w:val="283617C1"/>
    <w:rsid w:val="28394F0D"/>
    <w:rsid w:val="285123E3"/>
    <w:rsid w:val="285522AD"/>
    <w:rsid w:val="285D3EB6"/>
    <w:rsid w:val="285D5B58"/>
    <w:rsid w:val="2888100D"/>
    <w:rsid w:val="288C579C"/>
    <w:rsid w:val="28A02B64"/>
    <w:rsid w:val="28B8575D"/>
    <w:rsid w:val="28C870ED"/>
    <w:rsid w:val="28EA2551"/>
    <w:rsid w:val="28F93FD8"/>
    <w:rsid w:val="28FD5407"/>
    <w:rsid w:val="290B73A3"/>
    <w:rsid w:val="291432E7"/>
    <w:rsid w:val="291557A3"/>
    <w:rsid w:val="29386E82"/>
    <w:rsid w:val="2938756A"/>
    <w:rsid w:val="29506ADC"/>
    <w:rsid w:val="29562496"/>
    <w:rsid w:val="29690215"/>
    <w:rsid w:val="2977084E"/>
    <w:rsid w:val="297708F9"/>
    <w:rsid w:val="298A0D24"/>
    <w:rsid w:val="298A0E95"/>
    <w:rsid w:val="29AB569F"/>
    <w:rsid w:val="29D70A41"/>
    <w:rsid w:val="29DC5F46"/>
    <w:rsid w:val="29FC3313"/>
    <w:rsid w:val="2A093428"/>
    <w:rsid w:val="2A146851"/>
    <w:rsid w:val="2A2E243B"/>
    <w:rsid w:val="2A525F3A"/>
    <w:rsid w:val="2A5A64CB"/>
    <w:rsid w:val="2A622D93"/>
    <w:rsid w:val="2A711723"/>
    <w:rsid w:val="2A7523EE"/>
    <w:rsid w:val="2A7704E0"/>
    <w:rsid w:val="2A856479"/>
    <w:rsid w:val="2A8E3E30"/>
    <w:rsid w:val="2AAB703A"/>
    <w:rsid w:val="2AB940A3"/>
    <w:rsid w:val="2AC142A6"/>
    <w:rsid w:val="2AC24C88"/>
    <w:rsid w:val="2AC91CDA"/>
    <w:rsid w:val="2AD87F01"/>
    <w:rsid w:val="2ADF49A9"/>
    <w:rsid w:val="2AE7560E"/>
    <w:rsid w:val="2AFB7BFF"/>
    <w:rsid w:val="2B037437"/>
    <w:rsid w:val="2B0E0B3B"/>
    <w:rsid w:val="2B1E6D48"/>
    <w:rsid w:val="2B2A223C"/>
    <w:rsid w:val="2B2F7FE4"/>
    <w:rsid w:val="2B5E752C"/>
    <w:rsid w:val="2B8720EC"/>
    <w:rsid w:val="2B9B3B3F"/>
    <w:rsid w:val="2BA05635"/>
    <w:rsid w:val="2BA37662"/>
    <w:rsid w:val="2BAF792C"/>
    <w:rsid w:val="2BBD5934"/>
    <w:rsid w:val="2BE57771"/>
    <w:rsid w:val="2C021459"/>
    <w:rsid w:val="2C0E538E"/>
    <w:rsid w:val="2C0F6573"/>
    <w:rsid w:val="2C127493"/>
    <w:rsid w:val="2C20344A"/>
    <w:rsid w:val="2C207985"/>
    <w:rsid w:val="2C2800FE"/>
    <w:rsid w:val="2C55327C"/>
    <w:rsid w:val="2C624F08"/>
    <w:rsid w:val="2C637472"/>
    <w:rsid w:val="2C6563FD"/>
    <w:rsid w:val="2C696C61"/>
    <w:rsid w:val="2C996571"/>
    <w:rsid w:val="2CA03319"/>
    <w:rsid w:val="2CAA6122"/>
    <w:rsid w:val="2CB214B0"/>
    <w:rsid w:val="2CBA0980"/>
    <w:rsid w:val="2CCB652D"/>
    <w:rsid w:val="2CCD44AC"/>
    <w:rsid w:val="2CFF4E4E"/>
    <w:rsid w:val="2D0679DF"/>
    <w:rsid w:val="2D0A69CE"/>
    <w:rsid w:val="2D0E3D82"/>
    <w:rsid w:val="2D2221AD"/>
    <w:rsid w:val="2D256528"/>
    <w:rsid w:val="2D2E62C8"/>
    <w:rsid w:val="2D2F3C10"/>
    <w:rsid w:val="2D497343"/>
    <w:rsid w:val="2D55574E"/>
    <w:rsid w:val="2D69645E"/>
    <w:rsid w:val="2D896AC8"/>
    <w:rsid w:val="2DA66F61"/>
    <w:rsid w:val="2DB849AB"/>
    <w:rsid w:val="2DBE1BE4"/>
    <w:rsid w:val="2DBE4337"/>
    <w:rsid w:val="2DCB64E1"/>
    <w:rsid w:val="2DE24FE9"/>
    <w:rsid w:val="2E13596F"/>
    <w:rsid w:val="2E225351"/>
    <w:rsid w:val="2E33367E"/>
    <w:rsid w:val="2E516D24"/>
    <w:rsid w:val="2E743072"/>
    <w:rsid w:val="2E8F5BB1"/>
    <w:rsid w:val="2EB07A06"/>
    <w:rsid w:val="2EC41AA4"/>
    <w:rsid w:val="2EC52E6A"/>
    <w:rsid w:val="2ECF152F"/>
    <w:rsid w:val="2ED32F54"/>
    <w:rsid w:val="2EEB2157"/>
    <w:rsid w:val="2EFE7209"/>
    <w:rsid w:val="2F0A14E8"/>
    <w:rsid w:val="2F192FB8"/>
    <w:rsid w:val="2F1B0C55"/>
    <w:rsid w:val="2F2A5C5B"/>
    <w:rsid w:val="2F3B0168"/>
    <w:rsid w:val="2F501497"/>
    <w:rsid w:val="2F503B3F"/>
    <w:rsid w:val="2F6007DE"/>
    <w:rsid w:val="2F604BA8"/>
    <w:rsid w:val="2F872456"/>
    <w:rsid w:val="2F9465C8"/>
    <w:rsid w:val="2F9B5571"/>
    <w:rsid w:val="2FA05E57"/>
    <w:rsid w:val="2FBA7543"/>
    <w:rsid w:val="2FC04E19"/>
    <w:rsid w:val="2FCA3356"/>
    <w:rsid w:val="2FDB27E4"/>
    <w:rsid w:val="2FDD74F5"/>
    <w:rsid w:val="2FE04474"/>
    <w:rsid w:val="2FF323BD"/>
    <w:rsid w:val="2FFA084D"/>
    <w:rsid w:val="2FFB1E03"/>
    <w:rsid w:val="30113E7D"/>
    <w:rsid w:val="301F6C40"/>
    <w:rsid w:val="302049B8"/>
    <w:rsid w:val="302344CA"/>
    <w:rsid w:val="30283450"/>
    <w:rsid w:val="30315793"/>
    <w:rsid w:val="30524B60"/>
    <w:rsid w:val="305D4FE8"/>
    <w:rsid w:val="30606707"/>
    <w:rsid w:val="30783EDF"/>
    <w:rsid w:val="307D03D2"/>
    <w:rsid w:val="309403F5"/>
    <w:rsid w:val="30A42EDA"/>
    <w:rsid w:val="30AA5C78"/>
    <w:rsid w:val="30AF5C99"/>
    <w:rsid w:val="30BB3681"/>
    <w:rsid w:val="30C73DC7"/>
    <w:rsid w:val="30C85CDA"/>
    <w:rsid w:val="30CC1404"/>
    <w:rsid w:val="30D108AC"/>
    <w:rsid w:val="30D52517"/>
    <w:rsid w:val="30D55DAB"/>
    <w:rsid w:val="30E27927"/>
    <w:rsid w:val="30EE65BB"/>
    <w:rsid w:val="30F22CD6"/>
    <w:rsid w:val="30FA3EFB"/>
    <w:rsid w:val="30FF581A"/>
    <w:rsid w:val="31035256"/>
    <w:rsid w:val="31072C90"/>
    <w:rsid w:val="310D3F6C"/>
    <w:rsid w:val="31185133"/>
    <w:rsid w:val="31197755"/>
    <w:rsid w:val="31245AFB"/>
    <w:rsid w:val="312A2ACB"/>
    <w:rsid w:val="31303763"/>
    <w:rsid w:val="313D45DA"/>
    <w:rsid w:val="3142368C"/>
    <w:rsid w:val="314508FC"/>
    <w:rsid w:val="314C5F59"/>
    <w:rsid w:val="31555BDD"/>
    <w:rsid w:val="3156799F"/>
    <w:rsid w:val="31587A5B"/>
    <w:rsid w:val="315A69BE"/>
    <w:rsid w:val="316D67E9"/>
    <w:rsid w:val="31740F4D"/>
    <w:rsid w:val="318F578A"/>
    <w:rsid w:val="31B72948"/>
    <w:rsid w:val="31D20D67"/>
    <w:rsid w:val="31D83A75"/>
    <w:rsid w:val="31DA6297"/>
    <w:rsid w:val="31EC36AA"/>
    <w:rsid w:val="31FB4F45"/>
    <w:rsid w:val="31FF1AE4"/>
    <w:rsid w:val="320A178E"/>
    <w:rsid w:val="320E1CFF"/>
    <w:rsid w:val="321C1B63"/>
    <w:rsid w:val="322906D1"/>
    <w:rsid w:val="3262521D"/>
    <w:rsid w:val="32717784"/>
    <w:rsid w:val="32753A98"/>
    <w:rsid w:val="327A39A4"/>
    <w:rsid w:val="327D003F"/>
    <w:rsid w:val="32803B0A"/>
    <w:rsid w:val="328E5B9D"/>
    <w:rsid w:val="32A27511"/>
    <w:rsid w:val="32A5443B"/>
    <w:rsid w:val="32B23ED8"/>
    <w:rsid w:val="32D838A7"/>
    <w:rsid w:val="32D913F5"/>
    <w:rsid w:val="32DF2044"/>
    <w:rsid w:val="32ED1327"/>
    <w:rsid w:val="32F21390"/>
    <w:rsid w:val="332A1964"/>
    <w:rsid w:val="33333ADD"/>
    <w:rsid w:val="33363E03"/>
    <w:rsid w:val="33393F41"/>
    <w:rsid w:val="33576D7A"/>
    <w:rsid w:val="33680DF7"/>
    <w:rsid w:val="33805B55"/>
    <w:rsid w:val="33826C38"/>
    <w:rsid w:val="338921D5"/>
    <w:rsid w:val="338C619E"/>
    <w:rsid w:val="338C67F4"/>
    <w:rsid w:val="339E5E43"/>
    <w:rsid w:val="33AA67FA"/>
    <w:rsid w:val="33AD559B"/>
    <w:rsid w:val="33B02897"/>
    <w:rsid w:val="33B7202E"/>
    <w:rsid w:val="33B72ED3"/>
    <w:rsid w:val="33CB59E1"/>
    <w:rsid w:val="33E83521"/>
    <w:rsid w:val="340C10FA"/>
    <w:rsid w:val="340C2B86"/>
    <w:rsid w:val="34127584"/>
    <w:rsid w:val="342A3A58"/>
    <w:rsid w:val="343069A7"/>
    <w:rsid w:val="34390782"/>
    <w:rsid w:val="344625B1"/>
    <w:rsid w:val="344C402B"/>
    <w:rsid w:val="34B51721"/>
    <w:rsid w:val="34BE5370"/>
    <w:rsid w:val="34C31D7A"/>
    <w:rsid w:val="34EE14A1"/>
    <w:rsid w:val="350C30FE"/>
    <w:rsid w:val="35272EC2"/>
    <w:rsid w:val="352D7E9A"/>
    <w:rsid w:val="352F450E"/>
    <w:rsid w:val="35436618"/>
    <w:rsid w:val="35730229"/>
    <w:rsid w:val="35753823"/>
    <w:rsid w:val="357E50AF"/>
    <w:rsid w:val="35806B49"/>
    <w:rsid w:val="358B2BB3"/>
    <w:rsid w:val="359B6EB7"/>
    <w:rsid w:val="359C6290"/>
    <w:rsid w:val="35A76171"/>
    <w:rsid w:val="35AB4A6A"/>
    <w:rsid w:val="35AF0FA2"/>
    <w:rsid w:val="35B23688"/>
    <w:rsid w:val="35B74996"/>
    <w:rsid w:val="35C6289E"/>
    <w:rsid w:val="35CB1320"/>
    <w:rsid w:val="35DD5128"/>
    <w:rsid w:val="360723DF"/>
    <w:rsid w:val="36090C79"/>
    <w:rsid w:val="360C6A3E"/>
    <w:rsid w:val="3613581D"/>
    <w:rsid w:val="36220F25"/>
    <w:rsid w:val="362677E8"/>
    <w:rsid w:val="362A64A5"/>
    <w:rsid w:val="363121B4"/>
    <w:rsid w:val="36375301"/>
    <w:rsid w:val="364872A6"/>
    <w:rsid w:val="3649030E"/>
    <w:rsid w:val="366A6399"/>
    <w:rsid w:val="367A493C"/>
    <w:rsid w:val="368302D0"/>
    <w:rsid w:val="36881214"/>
    <w:rsid w:val="36893B54"/>
    <w:rsid w:val="36900848"/>
    <w:rsid w:val="36972DCF"/>
    <w:rsid w:val="36B27E69"/>
    <w:rsid w:val="36BA2517"/>
    <w:rsid w:val="36BC0988"/>
    <w:rsid w:val="36BE716A"/>
    <w:rsid w:val="36E62A15"/>
    <w:rsid w:val="370A3B29"/>
    <w:rsid w:val="371312F8"/>
    <w:rsid w:val="372D475A"/>
    <w:rsid w:val="37444090"/>
    <w:rsid w:val="37455598"/>
    <w:rsid w:val="374C243D"/>
    <w:rsid w:val="375D0B81"/>
    <w:rsid w:val="37606ABD"/>
    <w:rsid w:val="37775473"/>
    <w:rsid w:val="377D7FE6"/>
    <w:rsid w:val="377F6925"/>
    <w:rsid w:val="37863856"/>
    <w:rsid w:val="378A1F98"/>
    <w:rsid w:val="379B2079"/>
    <w:rsid w:val="37BA534E"/>
    <w:rsid w:val="37C47E44"/>
    <w:rsid w:val="37DF7ED8"/>
    <w:rsid w:val="37E86B50"/>
    <w:rsid w:val="37F343F6"/>
    <w:rsid w:val="37FF2E05"/>
    <w:rsid w:val="38031485"/>
    <w:rsid w:val="380B6A85"/>
    <w:rsid w:val="38163172"/>
    <w:rsid w:val="38240180"/>
    <w:rsid w:val="382C3C71"/>
    <w:rsid w:val="382C4B45"/>
    <w:rsid w:val="38365C61"/>
    <w:rsid w:val="383A70D1"/>
    <w:rsid w:val="38431B56"/>
    <w:rsid w:val="38646B32"/>
    <w:rsid w:val="3866618A"/>
    <w:rsid w:val="386B4F03"/>
    <w:rsid w:val="38731A2F"/>
    <w:rsid w:val="387409F1"/>
    <w:rsid w:val="387A7885"/>
    <w:rsid w:val="3887348D"/>
    <w:rsid w:val="38AD625A"/>
    <w:rsid w:val="38BC1453"/>
    <w:rsid w:val="38D3141E"/>
    <w:rsid w:val="38DE7C6B"/>
    <w:rsid w:val="38F043E9"/>
    <w:rsid w:val="39047D83"/>
    <w:rsid w:val="3908701F"/>
    <w:rsid w:val="391272E0"/>
    <w:rsid w:val="394249CA"/>
    <w:rsid w:val="394628AE"/>
    <w:rsid w:val="3946465F"/>
    <w:rsid w:val="394867CF"/>
    <w:rsid w:val="396A3976"/>
    <w:rsid w:val="397653DD"/>
    <w:rsid w:val="398815BE"/>
    <w:rsid w:val="39934A8B"/>
    <w:rsid w:val="399526E1"/>
    <w:rsid w:val="39AB7A7D"/>
    <w:rsid w:val="39C20AB1"/>
    <w:rsid w:val="39C730B4"/>
    <w:rsid w:val="39DD6DE5"/>
    <w:rsid w:val="39E476CA"/>
    <w:rsid w:val="39EE57BD"/>
    <w:rsid w:val="39EF52C4"/>
    <w:rsid w:val="39F24C99"/>
    <w:rsid w:val="3A0E5FEC"/>
    <w:rsid w:val="3A183E90"/>
    <w:rsid w:val="3A210A46"/>
    <w:rsid w:val="3A2D5982"/>
    <w:rsid w:val="3A300582"/>
    <w:rsid w:val="3A364D4D"/>
    <w:rsid w:val="3A3E0A25"/>
    <w:rsid w:val="3A424FB4"/>
    <w:rsid w:val="3A674BFE"/>
    <w:rsid w:val="3A7C65FB"/>
    <w:rsid w:val="3A8F13BC"/>
    <w:rsid w:val="3AAD41B9"/>
    <w:rsid w:val="3AC67724"/>
    <w:rsid w:val="3AC80961"/>
    <w:rsid w:val="3AE41229"/>
    <w:rsid w:val="3AEF6E89"/>
    <w:rsid w:val="3AF20F7D"/>
    <w:rsid w:val="3AF530A5"/>
    <w:rsid w:val="3AFB0439"/>
    <w:rsid w:val="3B245D6C"/>
    <w:rsid w:val="3B4564F3"/>
    <w:rsid w:val="3B536C61"/>
    <w:rsid w:val="3B59147A"/>
    <w:rsid w:val="3B5B2722"/>
    <w:rsid w:val="3B5C61CE"/>
    <w:rsid w:val="3B675F4E"/>
    <w:rsid w:val="3B954B7E"/>
    <w:rsid w:val="3B97442B"/>
    <w:rsid w:val="3B992C22"/>
    <w:rsid w:val="3BA12330"/>
    <w:rsid w:val="3BA248AE"/>
    <w:rsid w:val="3BA32FCE"/>
    <w:rsid w:val="3BAB08FD"/>
    <w:rsid w:val="3BB674F4"/>
    <w:rsid w:val="3BBA1659"/>
    <w:rsid w:val="3BC12B31"/>
    <w:rsid w:val="3BDE5374"/>
    <w:rsid w:val="3C06700B"/>
    <w:rsid w:val="3C137123"/>
    <w:rsid w:val="3C1A4B26"/>
    <w:rsid w:val="3C2F75B1"/>
    <w:rsid w:val="3C324F2C"/>
    <w:rsid w:val="3C335B02"/>
    <w:rsid w:val="3C3468E4"/>
    <w:rsid w:val="3C442DDA"/>
    <w:rsid w:val="3C4D1F9B"/>
    <w:rsid w:val="3C5B330A"/>
    <w:rsid w:val="3C606DCF"/>
    <w:rsid w:val="3C9A2E64"/>
    <w:rsid w:val="3CB04B20"/>
    <w:rsid w:val="3CBF5BF1"/>
    <w:rsid w:val="3CC13960"/>
    <w:rsid w:val="3CC6613D"/>
    <w:rsid w:val="3CD70D6A"/>
    <w:rsid w:val="3CE15D95"/>
    <w:rsid w:val="3CF7011C"/>
    <w:rsid w:val="3D260BFF"/>
    <w:rsid w:val="3D2A383C"/>
    <w:rsid w:val="3D347879"/>
    <w:rsid w:val="3D411566"/>
    <w:rsid w:val="3D430A3A"/>
    <w:rsid w:val="3D4472AA"/>
    <w:rsid w:val="3D534A99"/>
    <w:rsid w:val="3D567CBB"/>
    <w:rsid w:val="3D677B66"/>
    <w:rsid w:val="3D6E0E87"/>
    <w:rsid w:val="3D9932C5"/>
    <w:rsid w:val="3D9E7026"/>
    <w:rsid w:val="3DA42539"/>
    <w:rsid w:val="3DAD245B"/>
    <w:rsid w:val="3DC01B5F"/>
    <w:rsid w:val="3DC70011"/>
    <w:rsid w:val="3DCE1860"/>
    <w:rsid w:val="3DDC2C45"/>
    <w:rsid w:val="3DDE30AB"/>
    <w:rsid w:val="3DE12590"/>
    <w:rsid w:val="3DEA1EEF"/>
    <w:rsid w:val="3DF015F6"/>
    <w:rsid w:val="3DF870F4"/>
    <w:rsid w:val="3DFF138A"/>
    <w:rsid w:val="3E110F71"/>
    <w:rsid w:val="3E1C3704"/>
    <w:rsid w:val="3E213EFE"/>
    <w:rsid w:val="3E2710EB"/>
    <w:rsid w:val="3E3D55D4"/>
    <w:rsid w:val="3E477D61"/>
    <w:rsid w:val="3E4D5157"/>
    <w:rsid w:val="3E4E0680"/>
    <w:rsid w:val="3E5642B8"/>
    <w:rsid w:val="3E7A38E8"/>
    <w:rsid w:val="3E7B6954"/>
    <w:rsid w:val="3E7E23AD"/>
    <w:rsid w:val="3E807226"/>
    <w:rsid w:val="3E8B3511"/>
    <w:rsid w:val="3E8E0E91"/>
    <w:rsid w:val="3E926819"/>
    <w:rsid w:val="3E9A1C1A"/>
    <w:rsid w:val="3E9E3E4C"/>
    <w:rsid w:val="3E9E7FA4"/>
    <w:rsid w:val="3EC176BC"/>
    <w:rsid w:val="3EC81CF5"/>
    <w:rsid w:val="3ED40EDF"/>
    <w:rsid w:val="3ED9478C"/>
    <w:rsid w:val="3EDE6DF9"/>
    <w:rsid w:val="3EEE72F4"/>
    <w:rsid w:val="3F05622C"/>
    <w:rsid w:val="3F0A4AA2"/>
    <w:rsid w:val="3F3146D5"/>
    <w:rsid w:val="3F341A7B"/>
    <w:rsid w:val="3F39293E"/>
    <w:rsid w:val="3F472968"/>
    <w:rsid w:val="3F533B02"/>
    <w:rsid w:val="3F573110"/>
    <w:rsid w:val="3F5A79B1"/>
    <w:rsid w:val="3F7411FD"/>
    <w:rsid w:val="3F7E7BAE"/>
    <w:rsid w:val="3F8767CA"/>
    <w:rsid w:val="3F9766F3"/>
    <w:rsid w:val="3FA130AB"/>
    <w:rsid w:val="3FA649BE"/>
    <w:rsid w:val="3FC1133F"/>
    <w:rsid w:val="3FD01C21"/>
    <w:rsid w:val="3FDB553C"/>
    <w:rsid w:val="3FE66038"/>
    <w:rsid w:val="4005217C"/>
    <w:rsid w:val="400F5701"/>
    <w:rsid w:val="40187821"/>
    <w:rsid w:val="401E1477"/>
    <w:rsid w:val="401E5046"/>
    <w:rsid w:val="403A19EE"/>
    <w:rsid w:val="4045242F"/>
    <w:rsid w:val="40641464"/>
    <w:rsid w:val="40695988"/>
    <w:rsid w:val="406A084D"/>
    <w:rsid w:val="409C7F70"/>
    <w:rsid w:val="40A6266C"/>
    <w:rsid w:val="40A915AF"/>
    <w:rsid w:val="40A969DA"/>
    <w:rsid w:val="40AC6B1D"/>
    <w:rsid w:val="40CE6DF1"/>
    <w:rsid w:val="40D17AF3"/>
    <w:rsid w:val="40D55BDF"/>
    <w:rsid w:val="40D607EE"/>
    <w:rsid w:val="40D7205A"/>
    <w:rsid w:val="40E13B53"/>
    <w:rsid w:val="41062D40"/>
    <w:rsid w:val="41063A54"/>
    <w:rsid w:val="410D0AD5"/>
    <w:rsid w:val="410E5E35"/>
    <w:rsid w:val="41154DA6"/>
    <w:rsid w:val="41215D95"/>
    <w:rsid w:val="412872F4"/>
    <w:rsid w:val="41405954"/>
    <w:rsid w:val="41422B19"/>
    <w:rsid w:val="4143463E"/>
    <w:rsid w:val="414E541E"/>
    <w:rsid w:val="415C08AF"/>
    <w:rsid w:val="41857526"/>
    <w:rsid w:val="419109BC"/>
    <w:rsid w:val="41945571"/>
    <w:rsid w:val="41957F69"/>
    <w:rsid w:val="41AD59F9"/>
    <w:rsid w:val="41B9292E"/>
    <w:rsid w:val="41BF11DA"/>
    <w:rsid w:val="41C03423"/>
    <w:rsid w:val="41CE3AF4"/>
    <w:rsid w:val="41D902DE"/>
    <w:rsid w:val="41E47DA4"/>
    <w:rsid w:val="41E57299"/>
    <w:rsid w:val="41E71973"/>
    <w:rsid w:val="41E92908"/>
    <w:rsid w:val="41EA209A"/>
    <w:rsid w:val="41F904AE"/>
    <w:rsid w:val="42016D74"/>
    <w:rsid w:val="422F53CD"/>
    <w:rsid w:val="4237160E"/>
    <w:rsid w:val="423D5034"/>
    <w:rsid w:val="42473E8A"/>
    <w:rsid w:val="424A1551"/>
    <w:rsid w:val="425145F5"/>
    <w:rsid w:val="42572B24"/>
    <w:rsid w:val="42593D80"/>
    <w:rsid w:val="42612C80"/>
    <w:rsid w:val="42685566"/>
    <w:rsid w:val="426A7678"/>
    <w:rsid w:val="42723AB3"/>
    <w:rsid w:val="4277201F"/>
    <w:rsid w:val="4289624D"/>
    <w:rsid w:val="428E4506"/>
    <w:rsid w:val="42910D0D"/>
    <w:rsid w:val="429C5D1F"/>
    <w:rsid w:val="42A3454C"/>
    <w:rsid w:val="42A442A1"/>
    <w:rsid w:val="42A67D9C"/>
    <w:rsid w:val="42C94C90"/>
    <w:rsid w:val="42D3424B"/>
    <w:rsid w:val="42D34975"/>
    <w:rsid w:val="42D96B3E"/>
    <w:rsid w:val="42DE72F6"/>
    <w:rsid w:val="42E41DF0"/>
    <w:rsid w:val="42E44A9D"/>
    <w:rsid w:val="42EE1E67"/>
    <w:rsid w:val="42F049C1"/>
    <w:rsid w:val="42FA51E4"/>
    <w:rsid w:val="43010E8E"/>
    <w:rsid w:val="431C69F7"/>
    <w:rsid w:val="431E5A0E"/>
    <w:rsid w:val="43206805"/>
    <w:rsid w:val="432F4099"/>
    <w:rsid w:val="43477589"/>
    <w:rsid w:val="434E4C72"/>
    <w:rsid w:val="43615A7F"/>
    <w:rsid w:val="436670CA"/>
    <w:rsid w:val="436F11D1"/>
    <w:rsid w:val="4398496E"/>
    <w:rsid w:val="43C21C87"/>
    <w:rsid w:val="43C57800"/>
    <w:rsid w:val="43CF1FF8"/>
    <w:rsid w:val="43E64D26"/>
    <w:rsid w:val="43F52FFA"/>
    <w:rsid w:val="440B2D73"/>
    <w:rsid w:val="44222D94"/>
    <w:rsid w:val="44380A11"/>
    <w:rsid w:val="443B1FAB"/>
    <w:rsid w:val="447376B7"/>
    <w:rsid w:val="44797D96"/>
    <w:rsid w:val="44867DFE"/>
    <w:rsid w:val="44923D71"/>
    <w:rsid w:val="44932161"/>
    <w:rsid w:val="44956DEA"/>
    <w:rsid w:val="44973D7B"/>
    <w:rsid w:val="449B1610"/>
    <w:rsid w:val="44AC59F4"/>
    <w:rsid w:val="44BB07F1"/>
    <w:rsid w:val="44BE1C04"/>
    <w:rsid w:val="44E96563"/>
    <w:rsid w:val="44EE51F8"/>
    <w:rsid w:val="44F43C53"/>
    <w:rsid w:val="44FB12EC"/>
    <w:rsid w:val="450A526C"/>
    <w:rsid w:val="4517042C"/>
    <w:rsid w:val="45227A0B"/>
    <w:rsid w:val="45510C9F"/>
    <w:rsid w:val="45581C01"/>
    <w:rsid w:val="456944AB"/>
    <w:rsid w:val="456F7F4A"/>
    <w:rsid w:val="458149D1"/>
    <w:rsid w:val="45883E7E"/>
    <w:rsid w:val="459B1FCB"/>
    <w:rsid w:val="45B21680"/>
    <w:rsid w:val="45B6603F"/>
    <w:rsid w:val="45CA10D5"/>
    <w:rsid w:val="45CD556E"/>
    <w:rsid w:val="45D30FB0"/>
    <w:rsid w:val="45D42FF0"/>
    <w:rsid w:val="45D70988"/>
    <w:rsid w:val="45D74BBB"/>
    <w:rsid w:val="45EA31C5"/>
    <w:rsid w:val="45EB1C07"/>
    <w:rsid w:val="45F745CC"/>
    <w:rsid w:val="45FE4482"/>
    <w:rsid w:val="4612218A"/>
    <w:rsid w:val="463F4F04"/>
    <w:rsid w:val="46442632"/>
    <w:rsid w:val="464B5888"/>
    <w:rsid w:val="466166D0"/>
    <w:rsid w:val="466D07AD"/>
    <w:rsid w:val="467003CA"/>
    <w:rsid w:val="467006D1"/>
    <w:rsid w:val="46713A2B"/>
    <w:rsid w:val="4691497F"/>
    <w:rsid w:val="46951AE1"/>
    <w:rsid w:val="46953B34"/>
    <w:rsid w:val="46A50647"/>
    <w:rsid w:val="46B522E2"/>
    <w:rsid w:val="46E57897"/>
    <w:rsid w:val="46F11C01"/>
    <w:rsid w:val="46FF179E"/>
    <w:rsid w:val="470243A9"/>
    <w:rsid w:val="47177100"/>
    <w:rsid w:val="4722751B"/>
    <w:rsid w:val="472312D6"/>
    <w:rsid w:val="473B2685"/>
    <w:rsid w:val="473F6848"/>
    <w:rsid w:val="479D5917"/>
    <w:rsid w:val="47BD4D14"/>
    <w:rsid w:val="47C07CEA"/>
    <w:rsid w:val="47C4739D"/>
    <w:rsid w:val="47CC515B"/>
    <w:rsid w:val="47D211D2"/>
    <w:rsid w:val="47DD1573"/>
    <w:rsid w:val="47DD2AA9"/>
    <w:rsid w:val="48076585"/>
    <w:rsid w:val="481F2FB0"/>
    <w:rsid w:val="482322FE"/>
    <w:rsid w:val="483E48D2"/>
    <w:rsid w:val="48520227"/>
    <w:rsid w:val="48575195"/>
    <w:rsid w:val="485A3E8C"/>
    <w:rsid w:val="485F0DCC"/>
    <w:rsid w:val="48625D92"/>
    <w:rsid w:val="486411B1"/>
    <w:rsid w:val="486B55A2"/>
    <w:rsid w:val="486F7FBB"/>
    <w:rsid w:val="48716EA7"/>
    <w:rsid w:val="48760182"/>
    <w:rsid w:val="48903485"/>
    <w:rsid w:val="48A56E7C"/>
    <w:rsid w:val="48BB4DE9"/>
    <w:rsid w:val="48C07F81"/>
    <w:rsid w:val="48C17CB9"/>
    <w:rsid w:val="48D66F64"/>
    <w:rsid w:val="48DE57CD"/>
    <w:rsid w:val="48DF2024"/>
    <w:rsid w:val="48E245E4"/>
    <w:rsid w:val="48E96C7E"/>
    <w:rsid w:val="48ED2764"/>
    <w:rsid w:val="48F55EFB"/>
    <w:rsid w:val="490C37A6"/>
    <w:rsid w:val="49256AE4"/>
    <w:rsid w:val="493A1BED"/>
    <w:rsid w:val="493C070C"/>
    <w:rsid w:val="49457915"/>
    <w:rsid w:val="4947272B"/>
    <w:rsid w:val="494E5F01"/>
    <w:rsid w:val="4953382F"/>
    <w:rsid w:val="49534F34"/>
    <w:rsid w:val="496A2176"/>
    <w:rsid w:val="496A2B28"/>
    <w:rsid w:val="49744271"/>
    <w:rsid w:val="49863824"/>
    <w:rsid w:val="498D59A6"/>
    <w:rsid w:val="49AB74F9"/>
    <w:rsid w:val="49CB37E1"/>
    <w:rsid w:val="49ED39AE"/>
    <w:rsid w:val="49F01573"/>
    <w:rsid w:val="49F4437B"/>
    <w:rsid w:val="4A000238"/>
    <w:rsid w:val="4A02169A"/>
    <w:rsid w:val="4A0628A3"/>
    <w:rsid w:val="4A0F6858"/>
    <w:rsid w:val="4A4629AE"/>
    <w:rsid w:val="4A4F1F50"/>
    <w:rsid w:val="4A516119"/>
    <w:rsid w:val="4A54673D"/>
    <w:rsid w:val="4A577011"/>
    <w:rsid w:val="4A5C5538"/>
    <w:rsid w:val="4A5C5D30"/>
    <w:rsid w:val="4A7C2F32"/>
    <w:rsid w:val="4A7C692A"/>
    <w:rsid w:val="4A813DF3"/>
    <w:rsid w:val="4A95332D"/>
    <w:rsid w:val="4A972B65"/>
    <w:rsid w:val="4A9D60EE"/>
    <w:rsid w:val="4AA64F0C"/>
    <w:rsid w:val="4AAB066E"/>
    <w:rsid w:val="4AAD6960"/>
    <w:rsid w:val="4ABB72FD"/>
    <w:rsid w:val="4ABB7A01"/>
    <w:rsid w:val="4AC41E12"/>
    <w:rsid w:val="4AD919F6"/>
    <w:rsid w:val="4AED523A"/>
    <w:rsid w:val="4AEF3121"/>
    <w:rsid w:val="4AF96587"/>
    <w:rsid w:val="4AFB00D1"/>
    <w:rsid w:val="4B010FBD"/>
    <w:rsid w:val="4B022000"/>
    <w:rsid w:val="4B0524E4"/>
    <w:rsid w:val="4B1F2375"/>
    <w:rsid w:val="4B3050B1"/>
    <w:rsid w:val="4B331BA8"/>
    <w:rsid w:val="4B4B5C6A"/>
    <w:rsid w:val="4B5117E3"/>
    <w:rsid w:val="4B574EB1"/>
    <w:rsid w:val="4B5949D4"/>
    <w:rsid w:val="4B744892"/>
    <w:rsid w:val="4B7555CF"/>
    <w:rsid w:val="4B77200E"/>
    <w:rsid w:val="4B7A5B93"/>
    <w:rsid w:val="4B85629D"/>
    <w:rsid w:val="4B87062E"/>
    <w:rsid w:val="4B882B56"/>
    <w:rsid w:val="4B944AF5"/>
    <w:rsid w:val="4BA76DE3"/>
    <w:rsid w:val="4BA84999"/>
    <w:rsid w:val="4BA91B00"/>
    <w:rsid w:val="4BB75B79"/>
    <w:rsid w:val="4BC84E64"/>
    <w:rsid w:val="4BC960A4"/>
    <w:rsid w:val="4BD024AA"/>
    <w:rsid w:val="4BD2772E"/>
    <w:rsid w:val="4BDA7CA4"/>
    <w:rsid w:val="4BDC7C0C"/>
    <w:rsid w:val="4C2B6E5C"/>
    <w:rsid w:val="4C48775D"/>
    <w:rsid w:val="4C4F3764"/>
    <w:rsid w:val="4C5B11B9"/>
    <w:rsid w:val="4C5D2F44"/>
    <w:rsid w:val="4C6325BB"/>
    <w:rsid w:val="4C794754"/>
    <w:rsid w:val="4C982516"/>
    <w:rsid w:val="4CA5480B"/>
    <w:rsid w:val="4CBB599B"/>
    <w:rsid w:val="4CBC2D28"/>
    <w:rsid w:val="4CDF3376"/>
    <w:rsid w:val="4CE911F7"/>
    <w:rsid w:val="4CED6A12"/>
    <w:rsid w:val="4CF531CF"/>
    <w:rsid w:val="4CFB1B74"/>
    <w:rsid w:val="4D383F85"/>
    <w:rsid w:val="4D4138DD"/>
    <w:rsid w:val="4D5A03F3"/>
    <w:rsid w:val="4D6E7F37"/>
    <w:rsid w:val="4D78612A"/>
    <w:rsid w:val="4D821288"/>
    <w:rsid w:val="4D89764F"/>
    <w:rsid w:val="4D8B7272"/>
    <w:rsid w:val="4D8F4B37"/>
    <w:rsid w:val="4D9B7ACC"/>
    <w:rsid w:val="4DA33DB5"/>
    <w:rsid w:val="4DB62A02"/>
    <w:rsid w:val="4DBF2281"/>
    <w:rsid w:val="4DC8697C"/>
    <w:rsid w:val="4DCF51FC"/>
    <w:rsid w:val="4DE367F2"/>
    <w:rsid w:val="4DE67A00"/>
    <w:rsid w:val="4DF61864"/>
    <w:rsid w:val="4DFE6990"/>
    <w:rsid w:val="4E021CFA"/>
    <w:rsid w:val="4E143E19"/>
    <w:rsid w:val="4E1875C0"/>
    <w:rsid w:val="4E254669"/>
    <w:rsid w:val="4E2F07D7"/>
    <w:rsid w:val="4E30730B"/>
    <w:rsid w:val="4E4C699E"/>
    <w:rsid w:val="4E4E1B69"/>
    <w:rsid w:val="4E5E4A46"/>
    <w:rsid w:val="4E5F52B9"/>
    <w:rsid w:val="4E643C1D"/>
    <w:rsid w:val="4E6F67C5"/>
    <w:rsid w:val="4E8514D0"/>
    <w:rsid w:val="4E8D33EC"/>
    <w:rsid w:val="4E9F0F3F"/>
    <w:rsid w:val="4EA55A3B"/>
    <w:rsid w:val="4EAD1411"/>
    <w:rsid w:val="4EBE3491"/>
    <w:rsid w:val="4ED53A97"/>
    <w:rsid w:val="4EDA137E"/>
    <w:rsid w:val="4EE7175A"/>
    <w:rsid w:val="4EE91A11"/>
    <w:rsid w:val="4EF22BA5"/>
    <w:rsid w:val="4F02194A"/>
    <w:rsid w:val="4F174157"/>
    <w:rsid w:val="4F2226AE"/>
    <w:rsid w:val="4F345304"/>
    <w:rsid w:val="4F427248"/>
    <w:rsid w:val="4F481DD3"/>
    <w:rsid w:val="4F5538AA"/>
    <w:rsid w:val="4F69204A"/>
    <w:rsid w:val="4F694DE1"/>
    <w:rsid w:val="4F7911B5"/>
    <w:rsid w:val="4F88537B"/>
    <w:rsid w:val="4F9213E2"/>
    <w:rsid w:val="4F954E71"/>
    <w:rsid w:val="4FAB68E5"/>
    <w:rsid w:val="4FBF559A"/>
    <w:rsid w:val="4FF362AA"/>
    <w:rsid w:val="4FF84C8A"/>
    <w:rsid w:val="50031CD4"/>
    <w:rsid w:val="50043B2D"/>
    <w:rsid w:val="502907AA"/>
    <w:rsid w:val="50441166"/>
    <w:rsid w:val="507B25F1"/>
    <w:rsid w:val="507C1FE6"/>
    <w:rsid w:val="50957007"/>
    <w:rsid w:val="509F56A7"/>
    <w:rsid w:val="509F5A8F"/>
    <w:rsid w:val="50A55539"/>
    <w:rsid w:val="50A7338A"/>
    <w:rsid w:val="50B66D49"/>
    <w:rsid w:val="50C30B7A"/>
    <w:rsid w:val="50CB0577"/>
    <w:rsid w:val="50EF15E9"/>
    <w:rsid w:val="50F17837"/>
    <w:rsid w:val="510E3A82"/>
    <w:rsid w:val="511C3688"/>
    <w:rsid w:val="514C1E88"/>
    <w:rsid w:val="515B6D4A"/>
    <w:rsid w:val="51611941"/>
    <w:rsid w:val="516F4577"/>
    <w:rsid w:val="518A70AE"/>
    <w:rsid w:val="519C24D6"/>
    <w:rsid w:val="51A86C9A"/>
    <w:rsid w:val="51B3503F"/>
    <w:rsid w:val="51C87EEF"/>
    <w:rsid w:val="51D81A16"/>
    <w:rsid w:val="51E74206"/>
    <w:rsid w:val="51F37D09"/>
    <w:rsid w:val="52032E43"/>
    <w:rsid w:val="52071C5A"/>
    <w:rsid w:val="52093486"/>
    <w:rsid w:val="520B45B7"/>
    <w:rsid w:val="522442F3"/>
    <w:rsid w:val="52261453"/>
    <w:rsid w:val="52386CF3"/>
    <w:rsid w:val="524D3E8B"/>
    <w:rsid w:val="527A2C6C"/>
    <w:rsid w:val="529A12BE"/>
    <w:rsid w:val="52A947E2"/>
    <w:rsid w:val="52B070AE"/>
    <w:rsid w:val="52C05BEC"/>
    <w:rsid w:val="52F60A11"/>
    <w:rsid w:val="530117EA"/>
    <w:rsid w:val="53013D33"/>
    <w:rsid w:val="531C5A1F"/>
    <w:rsid w:val="531D78B1"/>
    <w:rsid w:val="532F2CEC"/>
    <w:rsid w:val="53336014"/>
    <w:rsid w:val="533A48C3"/>
    <w:rsid w:val="53465024"/>
    <w:rsid w:val="534B1687"/>
    <w:rsid w:val="53514EED"/>
    <w:rsid w:val="53624C1E"/>
    <w:rsid w:val="536510FA"/>
    <w:rsid w:val="537B2E05"/>
    <w:rsid w:val="537E23C5"/>
    <w:rsid w:val="5395034F"/>
    <w:rsid w:val="539A1E15"/>
    <w:rsid w:val="53A01CE9"/>
    <w:rsid w:val="53B04923"/>
    <w:rsid w:val="53B067A2"/>
    <w:rsid w:val="53C860E5"/>
    <w:rsid w:val="53DA5077"/>
    <w:rsid w:val="53E66550"/>
    <w:rsid w:val="53EE30A3"/>
    <w:rsid w:val="53F95751"/>
    <w:rsid w:val="53FB3144"/>
    <w:rsid w:val="540E0C55"/>
    <w:rsid w:val="5411032A"/>
    <w:rsid w:val="54161F08"/>
    <w:rsid w:val="54190A8A"/>
    <w:rsid w:val="541C38FF"/>
    <w:rsid w:val="54243B2E"/>
    <w:rsid w:val="544157AE"/>
    <w:rsid w:val="54431E08"/>
    <w:rsid w:val="544B290D"/>
    <w:rsid w:val="544C54EF"/>
    <w:rsid w:val="544C796E"/>
    <w:rsid w:val="54525B84"/>
    <w:rsid w:val="54575557"/>
    <w:rsid w:val="545E6209"/>
    <w:rsid w:val="54614C4A"/>
    <w:rsid w:val="546F4C0B"/>
    <w:rsid w:val="547312FF"/>
    <w:rsid w:val="54795D97"/>
    <w:rsid w:val="547B319D"/>
    <w:rsid w:val="547F2B83"/>
    <w:rsid w:val="54986BAA"/>
    <w:rsid w:val="54AC1C8C"/>
    <w:rsid w:val="54CC4C6E"/>
    <w:rsid w:val="54D62F7C"/>
    <w:rsid w:val="54D82638"/>
    <w:rsid w:val="54E60D7B"/>
    <w:rsid w:val="54E6224A"/>
    <w:rsid w:val="54E830A4"/>
    <w:rsid w:val="54EE3475"/>
    <w:rsid w:val="54F37204"/>
    <w:rsid w:val="54F56DE6"/>
    <w:rsid w:val="54F62079"/>
    <w:rsid w:val="54FA4559"/>
    <w:rsid w:val="54FE2086"/>
    <w:rsid w:val="550E13D7"/>
    <w:rsid w:val="55135BB9"/>
    <w:rsid w:val="551A69A6"/>
    <w:rsid w:val="55213F8C"/>
    <w:rsid w:val="55251C84"/>
    <w:rsid w:val="55313919"/>
    <w:rsid w:val="554036D7"/>
    <w:rsid w:val="55415E68"/>
    <w:rsid w:val="55491433"/>
    <w:rsid w:val="555324E1"/>
    <w:rsid w:val="5569061F"/>
    <w:rsid w:val="55733B27"/>
    <w:rsid w:val="557A3E01"/>
    <w:rsid w:val="557C1723"/>
    <w:rsid w:val="55825899"/>
    <w:rsid w:val="559261FD"/>
    <w:rsid w:val="55A3531C"/>
    <w:rsid w:val="55D96A2C"/>
    <w:rsid w:val="55DD2C89"/>
    <w:rsid w:val="55DE5912"/>
    <w:rsid w:val="55E02A1A"/>
    <w:rsid w:val="55EC5130"/>
    <w:rsid w:val="56117168"/>
    <w:rsid w:val="561C3E47"/>
    <w:rsid w:val="56204859"/>
    <w:rsid w:val="56262BE8"/>
    <w:rsid w:val="5626373D"/>
    <w:rsid w:val="562A33FB"/>
    <w:rsid w:val="562F3596"/>
    <w:rsid w:val="56437836"/>
    <w:rsid w:val="565B7435"/>
    <w:rsid w:val="565F2857"/>
    <w:rsid w:val="566B3D21"/>
    <w:rsid w:val="566D1BD0"/>
    <w:rsid w:val="567C3995"/>
    <w:rsid w:val="567F1B56"/>
    <w:rsid w:val="56846DB0"/>
    <w:rsid w:val="56871BA4"/>
    <w:rsid w:val="56906738"/>
    <w:rsid w:val="569A0F68"/>
    <w:rsid w:val="56C03DBE"/>
    <w:rsid w:val="56C110C2"/>
    <w:rsid w:val="56C611E4"/>
    <w:rsid w:val="56C73C9E"/>
    <w:rsid w:val="56C93AF8"/>
    <w:rsid w:val="56DE7426"/>
    <w:rsid w:val="56E1333A"/>
    <w:rsid w:val="56E33EF1"/>
    <w:rsid w:val="570B7539"/>
    <w:rsid w:val="57157BC2"/>
    <w:rsid w:val="573A2945"/>
    <w:rsid w:val="57406B9A"/>
    <w:rsid w:val="5747655D"/>
    <w:rsid w:val="574B19D8"/>
    <w:rsid w:val="576603BD"/>
    <w:rsid w:val="577C0821"/>
    <w:rsid w:val="5788533E"/>
    <w:rsid w:val="579272BD"/>
    <w:rsid w:val="5798317D"/>
    <w:rsid w:val="57A80DBD"/>
    <w:rsid w:val="57D0559F"/>
    <w:rsid w:val="57D51895"/>
    <w:rsid w:val="57E4166B"/>
    <w:rsid w:val="57E73B43"/>
    <w:rsid w:val="580D366C"/>
    <w:rsid w:val="580D7FED"/>
    <w:rsid w:val="581215D0"/>
    <w:rsid w:val="581612CE"/>
    <w:rsid w:val="58205A08"/>
    <w:rsid w:val="58245644"/>
    <w:rsid w:val="582E2AA6"/>
    <w:rsid w:val="58353443"/>
    <w:rsid w:val="584827C0"/>
    <w:rsid w:val="58502BF9"/>
    <w:rsid w:val="58620401"/>
    <w:rsid w:val="588B4B41"/>
    <w:rsid w:val="58970606"/>
    <w:rsid w:val="589B309B"/>
    <w:rsid w:val="58A317A3"/>
    <w:rsid w:val="58A91402"/>
    <w:rsid w:val="58DA0AFC"/>
    <w:rsid w:val="58E65595"/>
    <w:rsid w:val="58E81F56"/>
    <w:rsid w:val="59081D45"/>
    <w:rsid w:val="59126E96"/>
    <w:rsid w:val="592B3C60"/>
    <w:rsid w:val="59495921"/>
    <w:rsid w:val="59631C68"/>
    <w:rsid w:val="5967523E"/>
    <w:rsid w:val="596C0665"/>
    <w:rsid w:val="59804136"/>
    <w:rsid w:val="599C3B5C"/>
    <w:rsid w:val="59A667DB"/>
    <w:rsid w:val="59C20F2F"/>
    <w:rsid w:val="59CB0817"/>
    <w:rsid w:val="59E90AB0"/>
    <w:rsid w:val="59F45F1E"/>
    <w:rsid w:val="5A1878A2"/>
    <w:rsid w:val="5A2E2A70"/>
    <w:rsid w:val="5A357EFF"/>
    <w:rsid w:val="5A4B417A"/>
    <w:rsid w:val="5A5704B4"/>
    <w:rsid w:val="5A674C97"/>
    <w:rsid w:val="5A6A1EB0"/>
    <w:rsid w:val="5A915539"/>
    <w:rsid w:val="5A95756F"/>
    <w:rsid w:val="5AA72118"/>
    <w:rsid w:val="5AAD6517"/>
    <w:rsid w:val="5AB8429E"/>
    <w:rsid w:val="5AC8747B"/>
    <w:rsid w:val="5ADE2654"/>
    <w:rsid w:val="5AEF277D"/>
    <w:rsid w:val="5AF27958"/>
    <w:rsid w:val="5AFB1910"/>
    <w:rsid w:val="5B176005"/>
    <w:rsid w:val="5B4476EF"/>
    <w:rsid w:val="5B550083"/>
    <w:rsid w:val="5B7C6BF9"/>
    <w:rsid w:val="5B932A73"/>
    <w:rsid w:val="5B99149E"/>
    <w:rsid w:val="5BA71D7F"/>
    <w:rsid w:val="5BB64AFC"/>
    <w:rsid w:val="5BEB0788"/>
    <w:rsid w:val="5BF267A4"/>
    <w:rsid w:val="5C016C6F"/>
    <w:rsid w:val="5C0B0011"/>
    <w:rsid w:val="5C136387"/>
    <w:rsid w:val="5C212597"/>
    <w:rsid w:val="5C2565DA"/>
    <w:rsid w:val="5C2F38E5"/>
    <w:rsid w:val="5C3861B8"/>
    <w:rsid w:val="5C394692"/>
    <w:rsid w:val="5C3F111D"/>
    <w:rsid w:val="5C417160"/>
    <w:rsid w:val="5C476EDD"/>
    <w:rsid w:val="5C6252D5"/>
    <w:rsid w:val="5C753EF0"/>
    <w:rsid w:val="5C776765"/>
    <w:rsid w:val="5CAF345A"/>
    <w:rsid w:val="5CB9676B"/>
    <w:rsid w:val="5CCD118E"/>
    <w:rsid w:val="5CE14EE7"/>
    <w:rsid w:val="5CEB7A8D"/>
    <w:rsid w:val="5CF13FB3"/>
    <w:rsid w:val="5CF302D2"/>
    <w:rsid w:val="5CF66C8B"/>
    <w:rsid w:val="5D007CB6"/>
    <w:rsid w:val="5D056AB8"/>
    <w:rsid w:val="5D117A4F"/>
    <w:rsid w:val="5D232B16"/>
    <w:rsid w:val="5D2C22E8"/>
    <w:rsid w:val="5D3B2513"/>
    <w:rsid w:val="5D44351E"/>
    <w:rsid w:val="5D4803DA"/>
    <w:rsid w:val="5D9F033A"/>
    <w:rsid w:val="5D9F757D"/>
    <w:rsid w:val="5DB26E57"/>
    <w:rsid w:val="5DBA2936"/>
    <w:rsid w:val="5DBE37A1"/>
    <w:rsid w:val="5DD42678"/>
    <w:rsid w:val="5DD750AE"/>
    <w:rsid w:val="5DF36577"/>
    <w:rsid w:val="5DF667F5"/>
    <w:rsid w:val="5DFB3B71"/>
    <w:rsid w:val="5E070FEF"/>
    <w:rsid w:val="5E2F7047"/>
    <w:rsid w:val="5E3F3472"/>
    <w:rsid w:val="5E537FD6"/>
    <w:rsid w:val="5E563254"/>
    <w:rsid w:val="5E5927DE"/>
    <w:rsid w:val="5E5E4A13"/>
    <w:rsid w:val="5E602BF5"/>
    <w:rsid w:val="5E660A06"/>
    <w:rsid w:val="5E8507C3"/>
    <w:rsid w:val="5E892795"/>
    <w:rsid w:val="5E992F83"/>
    <w:rsid w:val="5EBD5A45"/>
    <w:rsid w:val="5ED14158"/>
    <w:rsid w:val="5ED50F67"/>
    <w:rsid w:val="5EF6570E"/>
    <w:rsid w:val="5F074CF4"/>
    <w:rsid w:val="5F28047A"/>
    <w:rsid w:val="5F2E020E"/>
    <w:rsid w:val="5F3D34D4"/>
    <w:rsid w:val="5F3D7E1C"/>
    <w:rsid w:val="5F4618EB"/>
    <w:rsid w:val="5F4A64CA"/>
    <w:rsid w:val="5F565E61"/>
    <w:rsid w:val="5F6124D0"/>
    <w:rsid w:val="5F654BE6"/>
    <w:rsid w:val="5F6D3C79"/>
    <w:rsid w:val="5F7B38A5"/>
    <w:rsid w:val="5F7B6E97"/>
    <w:rsid w:val="5F8E5204"/>
    <w:rsid w:val="5F92147E"/>
    <w:rsid w:val="5F9B1C91"/>
    <w:rsid w:val="5FC129FD"/>
    <w:rsid w:val="5FC60B1D"/>
    <w:rsid w:val="5FD87AF2"/>
    <w:rsid w:val="5FDC65DF"/>
    <w:rsid w:val="5FFE2359"/>
    <w:rsid w:val="60202DEE"/>
    <w:rsid w:val="60261834"/>
    <w:rsid w:val="602D33CF"/>
    <w:rsid w:val="6035413C"/>
    <w:rsid w:val="605533F7"/>
    <w:rsid w:val="60681440"/>
    <w:rsid w:val="607225B2"/>
    <w:rsid w:val="60735C76"/>
    <w:rsid w:val="60917982"/>
    <w:rsid w:val="609C60F8"/>
    <w:rsid w:val="609E151D"/>
    <w:rsid w:val="60AE72A6"/>
    <w:rsid w:val="60B13C00"/>
    <w:rsid w:val="60C64288"/>
    <w:rsid w:val="60C96147"/>
    <w:rsid w:val="60DC7731"/>
    <w:rsid w:val="60EC47DE"/>
    <w:rsid w:val="60F14C4C"/>
    <w:rsid w:val="61126461"/>
    <w:rsid w:val="61294BF1"/>
    <w:rsid w:val="61333FD5"/>
    <w:rsid w:val="614978D7"/>
    <w:rsid w:val="61503650"/>
    <w:rsid w:val="61524868"/>
    <w:rsid w:val="61591135"/>
    <w:rsid w:val="616112F2"/>
    <w:rsid w:val="61657578"/>
    <w:rsid w:val="61685771"/>
    <w:rsid w:val="616C3B46"/>
    <w:rsid w:val="61824E72"/>
    <w:rsid w:val="61827D13"/>
    <w:rsid w:val="618E68B1"/>
    <w:rsid w:val="61945001"/>
    <w:rsid w:val="619C1FD7"/>
    <w:rsid w:val="61AA2DB9"/>
    <w:rsid w:val="61AE4E01"/>
    <w:rsid w:val="61B0267F"/>
    <w:rsid w:val="61B07884"/>
    <w:rsid w:val="61B143E8"/>
    <w:rsid w:val="61B91EB4"/>
    <w:rsid w:val="61C9554A"/>
    <w:rsid w:val="61CC07C1"/>
    <w:rsid w:val="61D7122A"/>
    <w:rsid w:val="61DE5F29"/>
    <w:rsid w:val="61E12204"/>
    <w:rsid w:val="61E46C3A"/>
    <w:rsid w:val="61FC0AF0"/>
    <w:rsid w:val="61FF6262"/>
    <w:rsid w:val="62127BA8"/>
    <w:rsid w:val="623F68D8"/>
    <w:rsid w:val="6240175F"/>
    <w:rsid w:val="624842BE"/>
    <w:rsid w:val="6257173D"/>
    <w:rsid w:val="62601DF1"/>
    <w:rsid w:val="6270420D"/>
    <w:rsid w:val="627F07AD"/>
    <w:rsid w:val="62893CE5"/>
    <w:rsid w:val="629A25E5"/>
    <w:rsid w:val="629F2C5A"/>
    <w:rsid w:val="62BD7296"/>
    <w:rsid w:val="62DA5B34"/>
    <w:rsid w:val="62E037E8"/>
    <w:rsid w:val="62EC3D92"/>
    <w:rsid w:val="62EF5930"/>
    <w:rsid w:val="62F74E1B"/>
    <w:rsid w:val="63061CEC"/>
    <w:rsid w:val="630F7327"/>
    <w:rsid w:val="63141780"/>
    <w:rsid w:val="63175C41"/>
    <w:rsid w:val="631A527E"/>
    <w:rsid w:val="631D0ED6"/>
    <w:rsid w:val="631E42C1"/>
    <w:rsid w:val="6321166D"/>
    <w:rsid w:val="632222C7"/>
    <w:rsid w:val="632C4983"/>
    <w:rsid w:val="632F4AAD"/>
    <w:rsid w:val="63402642"/>
    <w:rsid w:val="6378435E"/>
    <w:rsid w:val="638B0521"/>
    <w:rsid w:val="63944489"/>
    <w:rsid w:val="639D32D5"/>
    <w:rsid w:val="63E14F8C"/>
    <w:rsid w:val="63E15A49"/>
    <w:rsid w:val="63F57166"/>
    <w:rsid w:val="63FF3998"/>
    <w:rsid w:val="64082742"/>
    <w:rsid w:val="64093D9E"/>
    <w:rsid w:val="640A34D6"/>
    <w:rsid w:val="642739D4"/>
    <w:rsid w:val="64334120"/>
    <w:rsid w:val="643E3D93"/>
    <w:rsid w:val="643E4011"/>
    <w:rsid w:val="643F7E7A"/>
    <w:rsid w:val="64522053"/>
    <w:rsid w:val="646B06F4"/>
    <w:rsid w:val="6471601C"/>
    <w:rsid w:val="64895BD2"/>
    <w:rsid w:val="649A1341"/>
    <w:rsid w:val="649F01E4"/>
    <w:rsid w:val="64A76B9A"/>
    <w:rsid w:val="64B862F0"/>
    <w:rsid w:val="64BC272F"/>
    <w:rsid w:val="64C70540"/>
    <w:rsid w:val="64CF2764"/>
    <w:rsid w:val="64D118DC"/>
    <w:rsid w:val="64F72487"/>
    <w:rsid w:val="64F90CB2"/>
    <w:rsid w:val="64FF1333"/>
    <w:rsid w:val="65010C42"/>
    <w:rsid w:val="65023236"/>
    <w:rsid w:val="652958AC"/>
    <w:rsid w:val="653A135B"/>
    <w:rsid w:val="65401FCC"/>
    <w:rsid w:val="65406DE5"/>
    <w:rsid w:val="654F3E6D"/>
    <w:rsid w:val="6552589F"/>
    <w:rsid w:val="656D4267"/>
    <w:rsid w:val="65BD361F"/>
    <w:rsid w:val="65C074A3"/>
    <w:rsid w:val="65CF365B"/>
    <w:rsid w:val="65D16946"/>
    <w:rsid w:val="65E217A8"/>
    <w:rsid w:val="65EA703F"/>
    <w:rsid w:val="65EF24A5"/>
    <w:rsid w:val="66032A68"/>
    <w:rsid w:val="660E3CD9"/>
    <w:rsid w:val="66257F03"/>
    <w:rsid w:val="66301865"/>
    <w:rsid w:val="664166A3"/>
    <w:rsid w:val="66427967"/>
    <w:rsid w:val="66471C44"/>
    <w:rsid w:val="665D2002"/>
    <w:rsid w:val="666058FB"/>
    <w:rsid w:val="66625207"/>
    <w:rsid w:val="666923A4"/>
    <w:rsid w:val="666C2581"/>
    <w:rsid w:val="666E6DD6"/>
    <w:rsid w:val="667038E8"/>
    <w:rsid w:val="6674233E"/>
    <w:rsid w:val="667D64D8"/>
    <w:rsid w:val="66836BD8"/>
    <w:rsid w:val="6688509F"/>
    <w:rsid w:val="669A6062"/>
    <w:rsid w:val="66A12F25"/>
    <w:rsid w:val="66B74A21"/>
    <w:rsid w:val="66B865E9"/>
    <w:rsid w:val="66BF5979"/>
    <w:rsid w:val="66E03896"/>
    <w:rsid w:val="66E059DA"/>
    <w:rsid w:val="66E2160B"/>
    <w:rsid w:val="67075FC4"/>
    <w:rsid w:val="673A195F"/>
    <w:rsid w:val="67511126"/>
    <w:rsid w:val="6772608C"/>
    <w:rsid w:val="678122AA"/>
    <w:rsid w:val="67911894"/>
    <w:rsid w:val="67946569"/>
    <w:rsid w:val="679A0410"/>
    <w:rsid w:val="67A86634"/>
    <w:rsid w:val="67AA4B28"/>
    <w:rsid w:val="67B15913"/>
    <w:rsid w:val="67B16CE8"/>
    <w:rsid w:val="67B77998"/>
    <w:rsid w:val="67CE4105"/>
    <w:rsid w:val="67D37090"/>
    <w:rsid w:val="67DB616C"/>
    <w:rsid w:val="67E84C7F"/>
    <w:rsid w:val="67EB13A8"/>
    <w:rsid w:val="67F10596"/>
    <w:rsid w:val="67F87128"/>
    <w:rsid w:val="680808C4"/>
    <w:rsid w:val="68174FD6"/>
    <w:rsid w:val="68226B4C"/>
    <w:rsid w:val="6825633E"/>
    <w:rsid w:val="685D1BD4"/>
    <w:rsid w:val="686D0094"/>
    <w:rsid w:val="686E62F8"/>
    <w:rsid w:val="688868A8"/>
    <w:rsid w:val="688907B6"/>
    <w:rsid w:val="68900B95"/>
    <w:rsid w:val="68981707"/>
    <w:rsid w:val="68B75097"/>
    <w:rsid w:val="68B82AAE"/>
    <w:rsid w:val="68BD532C"/>
    <w:rsid w:val="68C058E1"/>
    <w:rsid w:val="68C73F6A"/>
    <w:rsid w:val="68CB0E0F"/>
    <w:rsid w:val="68DA0DA8"/>
    <w:rsid w:val="68DE53C8"/>
    <w:rsid w:val="68DE5FAC"/>
    <w:rsid w:val="68DE6EA9"/>
    <w:rsid w:val="68E47FDF"/>
    <w:rsid w:val="69052464"/>
    <w:rsid w:val="6917536B"/>
    <w:rsid w:val="693D2CB4"/>
    <w:rsid w:val="69455427"/>
    <w:rsid w:val="69495FBD"/>
    <w:rsid w:val="696B158E"/>
    <w:rsid w:val="698138F5"/>
    <w:rsid w:val="698315F3"/>
    <w:rsid w:val="699004EF"/>
    <w:rsid w:val="699F691A"/>
    <w:rsid w:val="69A065F5"/>
    <w:rsid w:val="69C82738"/>
    <w:rsid w:val="69E73647"/>
    <w:rsid w:val="69F35EE5"/>
    <w:rsid w:val="6A077B5F"/>
    <w:rsid w:val="6A0F4DDC"/>
    <w:rsid w:val="6A172D11"/>
    <w:rsid w:val="6A1E588B"/>
    <w:rsid w:val="6A1F6310"/>
    <w:rsid w:val="6A251492"/>
    <w:rsid w:val="6A2639C4"/>
    <w:rsid w:val="6A2D55C4"/>
    <w:rsid w:val="6A311E86"/>
    <w:rsid w:val="6A353A68"/>
    <w:rsid w:val="6A471106"/>
    <w:rsid w:val="6A5A0C74"/>
    <w:rsid w:val="6A5B703D"/>
    <w:rsid w:val="6A6F08E3"/>
    <w:rsid w:val="6A7D68A0"/>
    <w:rsid w:val="6A874972"/>
    <w:rsid w:val="6A8767C7"/>
    <w:rsid w:val="6A9E2132"/>
    <w:rsid w:val="6A9F0ACA"/>
    <w:rsid w:val="6ABB14AC"/>
    <w:rsid w:val="6ACA7FFC"/>
    <w:rsid w:val="6ADC598A"/>
    <w:rsid w:val="6AE429C5"/>
    <w:rsid w:val="6B07329F"/>
    <w:rsid w:val="6B086C16"/>
    <w:rsid w:val="6B0B11A4"/>
    <w:rsid w:val="6B3749A0"/>
    <w:rsid w:val="6B437F74"/>
    <w:rsid w:val="6B4E18CD"/>
    <w:rsid w:val="6B570B3C"/>
    <w:rsid w:val="6B5F74F1"/>
    <w:rsid w:val="6B72229B"/>
    <w:rsid w:val="6B893393"/>
    <w:rsid w:val="6B8E5669"/>
    <w:rsid w:val="6BA86717"/>
    <w:rsid w:val="6BBD4663"/>
    <w:rsid w:val="6BDA1B74"/>
    <w:rsid w:val="6BE53EFA"/>
    <w:rsid w:val="6C0D78F2"/>
    <w:rsid w:val="6C3A09D0"/>
    <w:rsid w:val="6C3D1D08"/>
    <w:rsid w:val="6C581164"/>
    <w:rsid w:val="6C5A5393"/>
    <w:rsid w:val="6C86260E"/>
    <w:rsid w:val="6C8E3FED"/>
    <w:rsid w:val="6C920AAC"/>
    <w:rsid w:val="6C96562F"/>
    <w:rsid w:val="6C976F53"/>
    <w:rsid w:val="6C9E4D19"/>
    <w:rsid w:val="6CC64180"/>
    <w:rsid w:val="6CCF5157"/>
    <w:rsid w:val="6CD576C4"/>
    <w:rsid w:val="6CF52D02"/>
    <w:rsid w:val="6CFD7B14"/>
    <w:rsid w:val="6D0C21DB"/>
    <w:rsid w:val="6D1E68E4"/>
    <w:rsid w:val="6D41732D"/>
    <w:rsid w:val="6D4710E9"/>
    <w:rsid w:val="6D530434"/>
    <w:rsid w:val="6D7411C3"/>
    <w:rsid w:val="6D747DBB"/>
    <w:rsid w:val="6D7A1703"/>
    <w:rsid w:val="6D7B24D0"/>
    <w:rsid w:val="6D8008CD"/>
    <w:rsid w:val="6D960C1B"/>
    <w:rsid w:val="6D9D2F82"/>
    <w:rsid w:val="6DA25161"/>
    <w:rsid w:val="6DA46468"/>
    <w:rsid w:val="6DB02D9E"/>
    <w:rsid w:val="6DB54875"/>
    <w:rsid w:val="6DCC12B2"/>
    <w:rsid w:val="6DE644E9"/>
    <w:rsid w:val="6DF51456"/>
    <w:rsid w:val="6DF76C62"/>
    <w:rsid w:val="6E0D6EA5"/>
    <w:rsid w:val="6E126562"/>
    <w:rsid w:val="6E2000B7"/>
    <w:rsid w:val="6E407064"/>
    <w:rsid w:val="6E4430AB"/>
    <w:rsid w:val="6E461CAF"/>
    <w:rsid w:val="6E4C3F9E"/>
    <w:rsid w:val="6E7F1DF3"/>
    <w:rsid w:val="6E824E66"/>
    <w:rsid w:val="6E840E53"/>
    <w:rsid w:val="6E8F23EC"/>
    <w:rsid w:val="6E9B3583"/>
    <w:rsid w:val="6EA3783F"/>
    <w:rsid w:val="6EB00BF8"/>
    <w:rsid w:val="6ECC30D3"/>
    <w:rsid w:val="6ED16C7F"/>
    <w:rsid w:val="6EE575D9"/>
    <w:rsid w:val="6EE872E1"/>
    <w:rsid w:val="6EE92D63"/>
    <w:rsid w:val="6EF53E3E"/>
    <w:rsid w:val="6F03501E"/>
    <w:rsid w:val="6F0B4DCC"/>
    <w:rsid w:val="6F0C1B1F"/>
    <w:rsid w:val="6F176AF5"/>
    <w:rsid w:val="6F1A41B2"/>
    <w:rsid w:val="6F23117B"/>
    <w:rsid w:val="6F254192"/>
    <w:rsid w:val="6F3B290A"/>
    <w:rsid w:val="6F59108D"/>
    <w:rsid w:val="6F5C0935"/>
    <w:rsid w:val="6F5E0D4B"/>
    <w:rsid w:val="6F791042"/>
    <w:rsid w:val="6F844AE3"/>
    <w:rsid w:val="6F8A469A"/>
    <w:rsid w:val="6F9015D9"/>
    <w:rsid w:val="6FA0564C"/>
    <w:rsid w:val="6FAF4302"/>
    <w:rsid w:val="6FB00B56"/>
    <w:rsid w:val="6FEE3F6F"/>
    <w:rsid w:val="6FF50061"/>
    <w:rsid w:val="6FFE31EF"/>
    <w:rsid w:val="700470BD"/>
    <w:rsid w:val="700903F8"/>
    <w:rsid w:val="70130852"/>
    <w:rsid w:val="70147B7D"/>
    <w:rsid w:val="703C1433"/>
    <w:rsid w:val="70410365"/>
    <w:rsid w:val="70490E02"/>
    <w:rsid w:val="70622B65"/>
    <w:rsid w:val="70623315"/>
    <w:rsid w:val="70646F99"/>
    <w:rsid w:val="706B184D"/>
    <w:rsid w:val="708208FB"/>
    <w:rsid w:val="70896EB1"/>
    <w:rsid w:val="70965DC9"/>
    <w:rsid w:val="70A011B3"/>
    <w:rsid w:val="70A07B21"/>
    <w:rsid w:val="70BB42CC"/>
    <w:rsid w:val="70BC477A"/>
    <w:rsid w:val="70DF7AB5"/>
    <w:rsid w:val="70F32513"/>
    <w:rsid w:val="7106731C"/>
    <w:rsid w:val="710952EC"/>
    <w:rsid w:val="710F44CF"/>
    <w:rsid w:val="711D24ED"/>
    <w:rsid w:val="711F622D"/>
    <w:rsid w:val="71246484"/>
    <w:rsid w:val="71433C34"/>
    <w:rsid w:val="715B69B3"/>
    <w:rsid w:val="71655E1B"/>
    <w:rsid w:val="716F4391"/>
    <w:rsid w:val="7179668D"/>
    <w:rsid w:val="71810C1C"/>
    <w:rsid w:val="718D63C4"/>
    <w:rsid w:val="719642A4"/>
    <w:rsid w:val="71A5001D"/>
    <w:rsid w:val="71A8208A"/>
    <w:rsid w:val="71C61525"/>
    <w:rsid w:val="71D7583B"/>
    <w:rsid w:val="71DD0B75"/>
    <w:rsid w:val="72083878"/>
    <w:rsid w:val="722624C0"/>
    <w:rsid w:val="7230029D"/>
    <w:rsid w:val="724105C6"/>
    <w:rsid w:val="72414F78"/>
    <w:rsid w:val="724238BB"/>
    <w:rsid w:val="7244457B"/>
    <w:rsid w:val="724D4F24"/>
    <w:rsid w:val="725A0598"/>
    <w:rsid w:val="725E0DB2"/>
    <w:rsid w:val="728A627D"/>
    <w:rsid w:val="728F6872"/>
    <w:rsid w:val="729A192B"/>
    <w:rsid w:val="72D17251"/>
    <w:rsid w:val="72E818CE"/>
    <w:rsid w:val="72F32B01"/>
    <w:rsid w:val="732000B2"/>
    <w:rsid w:val="7333389D"/>
    <w:rsid w:val="733828C8"/>
    <w:rsid w:val="733C7B51"/>
    <w:rsid w:val="733D5404"/>
    <w:rsid w:val="73424356"/>
    <w:rsid w:val="734702E1"/>
    <w:rsid w:val="7350536C"/>
    <w:rsid w:val="73696483"/>
    <w:rsid w:val="736A1BF3"/>
    <w:rsid w:val="736B5CAF"/>
    <w:rsid w:val="737153C2"/>
    <w:rsid w:val="73785E61"/>
    <w:rsid w:val="73BD2470"/>
    <w:rsid w:val="73C01604"/>
    <w:rsid w:val="73CA156B"/>
    <w:rsid w:val="73CC21FB"/>
    <w:rsid w:val="73CF0A94"/>
    <w:rsid w:val="73DA4E34"/>
    <w:rsid w:val="73F7130F"/>
    <w:rsid w:val="73F91D26"/>
    <w:rsid w:val="73FC59DC"/>
    <w:rsid w:val="74036005"/>
    <w:rsid w:val="74047D43"/>
    <w:rsid w:val="74114386"/>
    <w:rsid w:val="7429284F"/>
    <w:rsid w:val="743C35E4"/>
    <w:rsid w:val="743F7385"/>
    <w:rsid w:val="74434D4F"/>
    <w:rsid w:val="74461DC5"/>
    <w:rsid w:val="744F111D"/>
    <w:rsid w:val="745D64AA"/>
    <w:rsid w:val="74823C43"/>
    <w:rsid w:val="74B35672"/>
    <w:rsid w:val="74CC3A99"/>
    <w:rsid w:val="74D518E6"/>
    <w:rsid w:val="74D75FA5"/>
    <w:rsid w:val="74FA41A9"/>
    <w:rsid w:val="74FC6B19"/>
    <w:rsid w:val="75073774"/>
    <w:rsid w:val="751A3D70"/>
    <w:rsid w:val="752B564E"/>
    <w:rsid w:val="75473C0F"/>
    <w:rsid w:val="754840D3"/>
    <w:rsid w:val="75497AEC"/>
    <w:rsid w:val="754E350B"/>
    <w:rsid w:val="757F2C7A"/>
    <w:rsid w:val="75805DA2"/>
    <w:rsid w:val="75826AC1"/>
    <w:rsid w:val="7588196E"/>
    <w:rsid w:val="75896E62"/>
    <w:rsid w:val="758B4D93"/>
    <w:rsid w:val="758C58A2"/>
    <w:rsid w:val="758E2468"/>
    <w:rsid w:val="759728BE"/>
    <w:rsid w:val="759B3B1C"/>
    <w:rsid w:val="75B31F8D"/>
    <w:rsid w:val="75BD43E2"/>
    <w:rsid w:val="75BF1BB5"/>
    <w:rsid w:val="75BF649B"/>
    <w:rsid w:val="75CA02B3"/>
    <w:rsid w:val="75EB2A66"/>
    <w:rsid w:val="75F02303"/>
    <w:rsid w:val="760640CE"/>
    <w:rsid w:val="760E1085"/>
    <w:rsid w:val="760F0088"/>
    <w:rsid w:val="761713C0"/>
    <w:rsid w:val="76197AD5"/>
    <w:rsid w:val="761D1A69"/>
    <w:rsid w:val="761D58B0"/>
    <w:rsid w:val="76235439"/>
    <w:rsid w:val="762670C4"/>
    <w:rsid w:val="76307618"/>
    <w:rsid w:val="763664E0"/>
    <w:rsid w:val="763B1F12"/>
    <w:rsid w:val="764005BE"/>
    <w:rsid w:val="7677172B"/>
    <w:rsid w:val="767B7E0E"/>
    <w:rsid w:val="76842797"/>
    <w:rsid w:val="76842CD1"/>
    <w:rsid w:val="769B052F"/>
    <w:rsid w:val="76A74CAE"/>
    <w:rsid w:val="76B62E6B"/>
    <w:rsid w:val="76BC4280"/>
    <w:rsid w:val="76BF7FE5"/>
    <w:rsid w:val="76C41FD5"/>
    <w:rsid w:val="76D715B0"/>
    <w:rsid w:val="76DF62F3"/>
    <w:rsid w:val="76F527B4"/>
    <w:rsid w:val="76F645E7"/>
    <w:rsid w:val="76F8619C"/>
    <w:rsid w:val="770A78FD"/>
    <w:rsid w:val="77122BB4"/>
    <w:rsid w:val="772010E5"/>
    <w:rsid w:val="77241C68"/>
    <w:rsid w:val="772A540D"/>
    <w:rsid w:val="772A654F"/>
    <w:rsid w:val="772B358D"/>
    <w:rsid w:val="772D7830"/>
    <w:rsid w:val="772F5FAC"/>
    <w:rsid w:val="77331E68"/>
    <w:rsid w:val="773D0C80"/>
    <w:rsid w:val="774074F0"/>
    <w:rsid w:val="77477EDF"/>
    <w:rsid w:val="774B7552"/>
    <w:rsid w:val="774C27C5"/>
    <w:rsid w:val="776F45D6"/>
    <w:rsid w:val="777A48EE"/>
    <w:rsid w:val="777D73B1"/>
    <w:rsid w:val="777F4E7B"/>
    <w:rsid w:val="778D4A8A"/>
    <w:rsid w:val="77902BAF"/>
    <w:rsid w:val="779571B3"/>
    <w:rsid w:val="77A02FF2"/>
    <w:rsid w:val="77A60847"/>
    <w:rsid w:val="77A6229F"/>
    <w:rsid w:val="77A94251"/>
    <w:rsid w:val="77AB013A"/>
    <w:rsid w:val="77B5232F"/>
    <w:rsid w:val="77BD3092"/>
    <w:rsid w:val="77CB6E0E"/>
    <w:rsid w:val="77FC59DF"/>
    <w:rsid w:val="780107E1"/>
    <w:rsid w:val="78045659"/>
    <w:rsid w:val="78081E8C"/>
    <w:rsid w:val="780A2AA7"/>
    <w:rsid w:val="78302D4F"/>
    <w:rsid w:val="78442947"/>
    <w:rsid w:val="784F03BA"/>
    <w:rsid w:val="785E221D"/>
    <w:rsid w:val="785F4BC5"/>
    <w:rsid w:val="786C4373"/>
    <w:rsid w:val="78884654"/>
    <w:rsid w:val="789538CF"/>
    <w:rsid w:val="78A64363"/>
    <w:rsid w:val="78C03E2D"/>
    <w:rsid w:val="78C1654A"/>
    <w:rsid w:val="78C8684D"/>
    <w:rsid w:val="78C92750"/>
    <w:rsid w:val="78E31321"/>
    <w:rsid w:val="79062691"/>
    <w:rsid w:val="79284B53"/>
    <w:rsid w:val="793D5EF0"/>
    <w:rsid w:val="79467247"/>
    <w:rsid w:val="794B6B2F"/>
    <w:rsid w:val="795C7138"/>
    <w:rsid w:val="79816537"/>
    <w:rsid w:val="7982799C"/>
    <w:rsid w:val="79831753"/>
    <w:rsid w:val="798B501E"/>
    <w:rsid w:val="799C4354"/>
    <w:rsid w:val="79A93C96"/>
    <w:rsid w:val="79C40BA0"/>
    <w:rsid w:val="79CF0327"/>
    <w:rsid w:val="79CF036D"/>
    <w:rsid w:val="79DB684D"/>
    <w:rsid w:val="79E05D8B"/>
    <w:rsid w:val="79E9431E"/>
    <w:rsid w:val="7A037275"/>
    <w:rsid w:val="7A045264"/>
    <w:rsid w:val="7A11136B"/>
    <w:rsid w:val="7A1F679A"/>
    <w:rsid w:val="7A3715E2"/>
    <w:rsid w:val="7A450BF5"/>
    <w:rsid w:val="7A5839D9"/>
    <w:rsid w:val="7A672221"/>
    <w:rsid w:val="7A6B2321"/>
    <w:rsid w:val="7A7A5A14"/>
    <w:rsid w:val="7A8368C3"/>
    <w:rsid w:val="7A8B5079"/>
    <w:rsid w:val="7AA71DF2"/>
    <w:rsid w:val="7AAF27D2"/>
    <w:rsid w:val="7ACB4986"/>
    <w:rsid w:val="7AE125A6"/>
    <w:rsid w:val="7AE72A4C"/>
    <w:rsid w:val="7AEA5CB6"/>
    <w:rsid w:val="7B0F3311"/>
    <w:rsid w:val="7B274473"/>
    <w:rsid w:val="7B2E6AE6"/>
    <w:rsid w:val="7B3B2E43"/>
    <w:rsid w:val="7B580C9E"/>
    <w:rsid w:val="7B5B402A"/>
    <w:rsid w:val="7B6E212B"/>
    <w:rsid w:val="7B7D6885"/>
    <w:rsid w:val="7B8E30D5"/>
    <w:rsid w:val="7B8E655D"/>
    <w:rsid w:val="7B924A8B"/>
    <w:rsid w:val="7BA36C57"/>
    <w:rsid w:val="7BC51098"/>
    <w:rsid w:val="7BC56ABC"/>
    <w:rsid w:val="7BD03BEE"/>
    <w:rsid w:val="7BE8064B"/>
    <w:rsid w:val="7C0C5D18"/>
    <w:rsid w:val="7C14707E"/>
    <w:rsid w:val="7C2160DB"/>
    <w:rsid w:val="7C244ED8"/>
    <w:rsid w:val="7C343503"/>
    <w:rsid w:val="7C3D3AF8"/>
    <w:rsid w:val="7C42051E"/>
    <w:rsid w:val="7C4E2768"/>
    <w:rsid w:val="7C5A56E4"/>
    <w:rsid w:val="7CC14E22"/>
    <w:rsid w:val="7CC2067F"/>
    <w:rsid w:val="7CC77D6F"/>
    <w:rsid w:val="7CD3326A"/>
    <w:rsid w:val="7CD732F9"/>
    <w:rsid w:val="7CF648E7"/>
    <w:rsid w:val="7CFE3B52"/>
    <w:rsid w:val="7D272EF4"/>
    <w:rsid w:val="7D3D20BD"/>
    <w:rsid w:val="7D5560E8"/>
    <w:rsid w:val="7D575E67"/>
    <w:rsid w:val="7D5B28E1"/>
    <w:rsid w:val="7D7A503A"/>
    <w:rsid w:val="7D7B1BBD"/>
    <w:rsid w:val="7D89206F"/>
    <w:rsid w:val="7DA95DFD"/>
    <w:rsid w:val="7DBD6BE8"/>
    <w:rsid w:val="7E081B5E"/>
    <w:rsid w:val="7E0B20C1"/>
    <w:rsid w:val="7E1A1BCC"/>
    <w:rsid w:val="7E2E7007"/>
    <w:rsid w:val="7E4B480B"/>
    <w:rsid w:val="7E4F7368"/>
    <w:rsid w:val="7E50567A"/>
    <w:rsid w:val="7E557B98"/>
    <w:rsid w:val="7E5B233E"/>
    <w:rsid w:val="7E5C134A"/>
    <w:rsid w:val="7E6B3EFA"/>
    <w:rsid w:val="7E727CCD"/>
    <w:rsid w:val="7E780BD6"/>
    <w:rsid w:val="7EA1252D"/>
    <w:rsid w:val="7EAD350E"/>
    <w:rsid w:val="7EB77161"/>
    <w:rsid w:val="7EBB2BB8"/>
    <w:rsid w:val="7EBF7E43"/>
    <w:rsid w:val="7ED60EC8"/>
    <w:rsid w:val="7EDB48A2"/>
    <w:rsid w:val="7EF01AF9"/>
    <w:rsid w:val="7EF21662"/>
    <w:rsid w:val="7F0A1A50"/>
    <w:rsid w:val="7F182575"/>
    <w:rsid w:val="7F1B714F"/>
    <w:rsid w:val="7F1E70D4"/>
    <w:rsid w:val="7F2E2878"/>
    <w:rsid w:val="7F3F2288"/>
    <w:rsid w:val="7F4129A9"/>
    <w:rsid w:val="7F46517B"/>
    <w:rsid w:val="7F5520CE"/>
    <w:rsid w:val="7F5B46CA"/>
    <w:rsid w:val="7F760DA0"/>
    <w:rsid w:val="7F7C3F17"/>
    <w:rsid w:val="7F85682B"/>
    <w:rsid w:val="7FC232D3"/>
    <w:rsid w:val="7FCF5F78"/>
    <w:rsid w:val="7FD24B96"/>
    <w:rsid w:val="7FDA6CA2"/>
    <w:rsid w:val="7FE41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7">
    <w:name w:val="annotation subject"/>
    <w:basedOn w:val="8"/>
    <w:next w:val="8"/>
    <w:link w:val="32"/>
    <w:unhideWhenUsed/>
    <w:qFormat/>
    <w:uiPriority w:val="99"/>
    <w:rPr>
      <w:b/>
      <w:bCs/>
    </w:rPr>
  </w:style>
  <w:style w:type="paragraph" w:styleId="8">
    <w:name w:val="annotation text"/>
    <w:basedOn w:val="1"/>
    <w:link w:val="27"/>
    <w:unhideWhenUsed/>
    <w:qFormat/>
    <w:uiPriority w:val="99"/>
    <w:pPr>
      <w:jc w:val="left"/>
    </w:pPr>
  </w:style>
  <w:style w:type="paragraph" w:styleId="9">
    <w:name w:val="toc 3"/>
    <w:basedOn w:val="1"/>
    <w:next w:val="1"/>
    <w:unhideWhenUsed/>
    <w:qFormat/>
    <w:uiPriority w:val="39"/>
    <w:pPr>
      <w:ind w:left="840" w:leftChars="400"/>
    </w:pPr>
  </w:style>
  <w:style w:type="paragraph" w:styleId="10">
    <w:name w:val="Balloon Text"/>
    <w:basedOn w:val="1"/>
    <w:link w:val="28"/>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ind w:left="1260" w:leftChars="600"/>
    </w:pPr>
  </w:style>
  <w:style w:type="character" w:styleId="16">
    <w:name w:val="Strong"/>
    <w:basedOn w:val="15"/>
    <w:qFormat/>
    <w:uiPriority w:val="22"/>
    <w:rPr>
      <w:b/>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unhideWhenUsed/>
    <w:qFormat/>
    <w:uiPriority w:val="99"/>
    <w:rPr>
      <w:sz w:val="21"/>
      <w:szCs w:val="21"/>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标题 1 字符"/>
    <w:basedOn w:val="15"/>
    <w:link w:val="3"/>
    <w:qFormat/>
    <w:uiPriority w:val="9"/>
    <w:rPr>
      <w:b/>
      <w:bCs/>
      <w:kern w:val="44"/>
      <w:sz w:val="44"/>
      <w:szCs w:val="44"/>
    </w:rPr>
  </w:style>
  <w:style w:type="character" w:customStyle="1" w:styleId="22">
    <w:name w:val="标题 2 字符"/>
    <w:basedOn w:val="15"/>
    <w:link w:val="4"/>
    <w:qFormat/>
    <w:uiPriority w:val="9"/>
    <w:rPr>
      <w:rFonts w:asciiTheme="majorHAnsi" w:hAnsiTheme="majorHAnsi" w:eastAsiaTheme="majorEastAsia" w:cstheme="majorBidi"/>
      <w:b/>
      <w:bCs/>
      <w:sz w:val="32"/>
      <w:szCs w:val="32"/>
    </w:rPr>
  </w:style>
  <w:style w:type="character" w:customStyle="1" w:styleId="23">
    <w:name w:val="标题 3 字符"/>
    <w:basedOn w:val="15"/>
    <w:link w:val="5"/>
    <w:qFormat/>
    <w:uiPriority w:val="9"/>
    <w:rPr>
      <w:b/>
      <w:bCs/>
      <w:sz w:val="32"/>
      <w:szCs w:val="32"/>
    </w:rPr>
  </w:style>
  <w:style w:type="character" w:customStyle="1" w:styleId="24">
    <w:name w:val="页眉 字符"/>
    <w:basedOn w:val="15"/>
    <w:link w:val="12"/>
    <w:qFormat/>
    <w:uiPriority w:val="99"/>
    <w:rPr>
      <w:sz w:val="18"/>
      <w:szCs w:val="18"/>
    </w:rPr>
  </w:style>
  <w:style w:type="character" w:customStyle="1" w:styleId="25">
    <w:name w:val="页脚 字符"/>
    <w:basedOn w:val="15"/>
    <w:link w:val="11"/>
    <w:qFormat/>
    <w:uiPriority w:val="99"/>
    <w:rPr>
      <w:sz w:val="18"/>
      <w:szCs w:val="18"/>
    </w:rPr>
  </w:style>
  <w:style w:type="character" w:customStyle="1" w:styleId="26">
    <w:name w:val="标题 4 字符"/>
    <w:basedOn w:val="15"/>
    <w:link w:val="6"/>
    <w:qFormat/>
    <w:uiPriority w:val="9"/>
    <w:rPr>
      <w:rFonts w:asciiTheme="majorHAnsi" w:hAnsiTheme="majorHAnsi" w:eastAsiaTheme="majorEastAsia" w:cstheme="majorBidi"/>
      <w:b/>
      <w:bCs/>
      <w:sz w:val="28"/>
      <w:szCs w:val="28"/>
    </w:rPr>
  </w:style>
  <w:style w:type="character" w:customStyle="1" w:styleId="27">
    <w:name w:val="批注文字 字符"/>
    <w:basedOn w:val="15"/>
    <w:link w:val="8"/>
    <w:semiHidden/>
    <w:qFormat/>
    <w:uiPriority w:val="99"/>
  </w:style>
  <w:style w:type="character" w:customStyle="1" w:styleId="28">
    <w:name w:val="批注框文本 字符"/>
    <w:basedOn w:val="15"/>
    <w:link w:val="10"/>
    <w:semiHidden/>
    <w:qFormat/>
    <w:uiPriority w:val="99"/>
    <w:rPr>
      <w:sz w:val="18"/>
      <w:szCs w:val="18"/>
    </w:rPr>
  </w:style>
  <w:style w:type="paragraph" w:customStyle="1" w:styleId="29">
    <w:name w:val="列出段落1"/>
    <w:basedOn w:val="1"/>
    <w:qFormat/>
    <w:uiPriority w:val="34"/>
    <w:pPr>
      <w:ind w:firstLine="420" w:firstLineChars="200"/>
    </w:pPr>
  </w:style>
  <w:style w:type="paragraph" w:customStyle="1" w:styleId="30">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2">
    <w:name w:val="批注主题 字符"/>
    <w:basedOn w:val="27"/>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E48446-201D-46DE-969B-E1F614611A61}">
  <ds:schemaRefs/>
</ds:datastoreItem>
</file>

<file path=docProps/app.xml><?xml version="1.0" encoding="utf-8"?>
<Properties xmlns="http://schemas.openxmlformats.org/officeDocument/2006/extended-properties" xmlns:vt="http://schemas.openxmlformats.org/officeDocument/2006/docPropsVTypes">
  <Template>Normal</Template>
  <Pages>1</Pages>
  <Words>1640</Words>
  <Characters>9348</Characters>
  <Lines>77</Lines>
  <Paragraphs>21</Paragraphs>
  <ScaleCrop>false</ScaleCrop>
  <LinksUpToDate>false</LinksUpToDate>
  <CharactersWithSpaces>10967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2021-10-08T06:44:00Z</dcterms:created>
  <dc:creator>DELL</dc:creator>
  <cp:lastModifiedBy>卢业奋</cp:lastModifiedBy>
  <cp:lastPrinted>2021-11-10T00:56:00Z</cp:lastPrinted>
  <dcterms:modified xsi:type="dcterms:W3CDTF">2021-11-23T08:41:01Z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